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701—260.19</w:t>
      </w:r>
      <w:r>
        <w:rPr>
          <w:rFonts w:ascii="Times New Roman" w:hAnsi="Times New Roman"/>
          <w:b/>
          <w:i w:val="false"/>
          <w:color w:val="000000"/>
          <w:sz w:val="22"/>
        </w:rPr>
        <w:t xml:space="preserve">(452A) </w:t>
      </w:r>
      <w:r>
        <w:rPr>
          <w:rFonts w:ascii="Times New Roman" w:hAnsi="Times New Roman"/>
          <w:b/>
          <w:i w:val="false"/>
          <w:color w:val="000000"/>
          <w:sz w:val="22"/>
        </w:rPr>
        <w:t xml:space="preserve">Right of distributors and dealers to blend conventional blendstock for oxygenate blending, gasoline, or diesel fuel using a biofuel.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260.19(1)</w:t>
      </w:r>
      <w:r>
        <w:rPr>
          <w:rFonts w:ascii="Times New Roman" w:hAnsi="Times New Roman"/>
          <w:b w:val="false"/>
          <w:i w:val="false"/>
          <w:color w:val="000000"/>
          <w:sz w:val="22"/>
        </w:rPr>
        <w:t> </w:t>
      </w:r>
      <w:r>
        <w:rPr>
          <w:rFonts w:ascii="Times New Roman" w:hAnsi="Times New Roman"/>
          <w:b w:val="false"/>
          <w:i w:val="false"/>
          <w:color w:val="000000"/>
          <w:sz w:val="22"/>
        </w:rPr>
        <w:t>A dealer or distributor may blend a conventional blendstock for oxygenate blending, gasoline, or diesel fuel using the appropriate biofuel, or sell unblended or blended gasoline or diesel fuel on any premises in this state. This subrule does not apply to the extent that the use of the premises is restricted by federal, state, or local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260.19(2)</w:t>
      </w:r>
      <w:r>
        <w:rPr>
          <w:rFonts w:ascii="Times New Roman" w:hAnsi="Times New Roman"/>
          <w:b w:val="false"/>
          <w:i w:val="false"/>
          <w:color w:val="000000"/>
          <w:sz w:val="22"/>
        </w:rPr>
        <w:t> </w:t>
      </w:r>
      <w:r>
        <w:rPr>
          <w:rFonts w:ascii="Times New Roman" w:hAnsi="Times New Roman"/>
          <w:b w:val="false"/>
          <w:i w:val="false"/>
          <w:color w:val="000000"/>
          <w:sz w:val="22"/>
        </w:rPr>
        <w:t>A refiner, supplier, terminal operator, or terminal owner who in the ordinary course of business sells or transports a conventional blendstock for oxygenate blending, gasoline unblended or blended with a biofuel, or diesel fuel unblended or blended with a biofuel shall not refuse to sell or transport to a distributor or dealer any conventional blendstock for oxygenate blending, unblended gasoline, or unblended diesel fuel that is at the terminal, based on the distributor’s or dealer’s intent to use the conventional blendstock for oxygenate blending, or blend the gasoline or diesel fuel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260.19(3)</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to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 a distributor or dealer from purchasing, selling or transporting a conventional blendstock for oxygenate blending, gasoline that has not been blended with a biofuel, or diesel fuel that has not been blended with a biofuel.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Affect the blender’s license requirements under Iowa Code section </w:t>
      </w:r>
      <w:hyperlink r:id="rId4">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a dealer or distributor from leaving a terminal with a conventional blendstock for oxygenate blending, gasoline that has not been blended with a biofuel, or diesel fuel that has not been blended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a nonrefiner biofuel manufacturer to offer or sell a conventional blendstock for oxygenate blending, gasoline that has not been blended with a biofuel, or diesel fuel that has not been blended with a biofuel.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260.19(4)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refiner, supplier, terminal operator, or terminal owner who violates this rule is subject to a civil penalty of not more than $10,000 per violation. Each day that a violation continues is deemed a separate offense. For more information on enforcement of this penalty, see </w:t>
      </w:r>
      <w:hyperlink r:id="rId5">
        <w:r>
          <w:rPr>
            <w:rStyle w:val="Hyperlink"/>
            <w:rFonts w:ascii="Times New Roman" w:hAnsi="Times New Roman"/>
            <w:b w:val="false"/>
            <w:i w:val="false"/>
            <w:color w:val="000000"/>
            <w:sz w:val="22"/>
          </w:rPr>
          <w:t>701—subrule 10.71(8)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6.pdf" Type="http://schemas.openxmlformats.org/officeDocument/2006/relationships/hyperlink" Id="rId4"/>
    <Relationship TargetMode="External" Target="https://www.legis.iowa.gov/docs/iac/rule/701.10.71.pdf" Type="http://schemas.openxmlformats.org/officeDocument/2006/relationships/hyperlink" Id="rId5"/>
    <Relationship TargetMode="External" Target="https://www.legis.iowa.gov/docs/ico/chapter/452A.6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