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701—260.17</w:t>
      </w:r>
      <w:r>
        <w:rPr>
          <w:rFonts w:ascii="Times New Roman" w:hAnsi="Times New Roman"/>
          <w:b/>
          <w:i w:val="false"/>
          <w:color w:val="000000"/>
          <w:sz w:val="22"/>
        </w:rPr>
        <w:t xml:space="preserve">(452A) </w:t>
      </w:r>
      <w:r>
        <w:rPr>
          <w:rFonts w:ascii="Times New Roman" w:hAnsi="Times New Roman"/>
          <w:b/>
          <w:i w:val="false"/>
          <w:color w:val="000000"/>
          <w:sz w:val="22"/>
        </w:rPr>
        <w:t xml:space="preserve">Transportation reports. </w:t>
      </w:r>
      <w:r>
        <w:rPr>
          <w:rFonts w:ascii="Times New Roman" w:hAnsi="Times New Roman"/>
          <w:b w:val="false"/>
          <w:i w:val="false"/>
          <w:color w:val="000000"/>
          <w:sz w:val="22"/>
        </w:rPr>
        <w:t xml:space="preserve">The reports required under Iowa Code section </w:t>
      </w:r>
      <w:hyperlink r:id="rId4">
        <w:r>
          <w:rPr>
            <w:rStyle w:val="Hyperlink"/>
            <w:rFonts w:ascii="Times New Roman" w:hAnsi="Times New Roman"/>
            <w:b w:val="false"/>
            <w:i w:val="false"/>
            <w:color w:val="000000"/>
            <w:sz w:val="22"/>
          </w:rPr>
          <w:t>452A.15(1)</w:t>
        </w:r>
      </w:hyperlink>
      <w:r>
        <w:rPr>
          <w:rFonts w:ascii="Times New Roman" w:hAnsi="Times New Roman"/>
          <w:b w:val="false"/>
          <w:i w:val="false"/>
          <w:color w:val="000000"/>
          <w:sz w:val="22"/>
        </w:rPr>
        <w:t xml:space="preserve"> are to be filed by railroad carriers, common carriers, contract carriers, distributors transporting fuel for others, and anyone else transporting fuel from without the state and unloading it at other than terminal storage within the state. The report must include all fuel which was imported into Iowa and unloaded at other than terminal storage, all fuel withdrawn from Iowa terminal storage and delivered in Iowa, and all fuel withdrawn from Iowa terminal storage and exported from Iowa. These reports must be filed monthly and show as to each delivery:</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federal identification number or social security number of the person to whom actually delivered.</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name, address, and federal identification number or social security number of the originally named consignee, if delivered to anyone other than the originally named consignee.</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point of origin, the point of delivery, and the date of delivery.</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number and initials of each tank car and the number of gallons contained therein, if shipped by rail.</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The name of the boat, barge, or vessel, and the number of gallons contained therein, if shipped by water.</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The registration number of each tank truck and the number of gallons contained therein, if transported by motor truck.</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The manner, if delivered by other means, in which the delivery is made.</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Such additional information relative to shipments of motor fuel or special fuel as the department may require.</w:t>
      </w:r>
    </w:p>
    <w:p>
      <w:pPr>
        <w:spacing w:before="0" w:after="0"/>
        <w:ind w:left="120"/>
        <w:jc w:val="left"/>
      </w:pPr>
      <w:r>
        <w:rPr>
          <w:rFonts w:ascii="Times New Roman" w:hAnsi="Times New Roman"/>
          <w:b w:val="false"/>
          <w:i w:val="false"/>
          <w:color w:val="000000"/>
          <w:sz w:val="22"/>
        </w:rPr>
        <w:t>For periods on or after July 1, 2002, the director may impose a civil penalty against any person who fails to file the reports required under the motor fuel tax laws. The penalty shall be $100 for the first violation and shall increase by $100 for each additional violation occurring in the calendar year in which the first violation occurred.</w:t>
      </w:r>
    </w:p>
    <w:p>
      <w:pPr>
        <w:spacing w:before="0" w:after="0"/>
        <w:ind w:left="120"/>
        <w:jc w:val="left"/>
      </w:pPr>
      <w:r>
        <w:rPr>
          <w:rFonts w:ascii="Times New Roman" w:hAnsi="Times New Roman"/>
          <w:b w:val="false"/>
          <w:i w:val="false"/>
          <w:color w:val="000000"/>
          <w:sz w:val="22"/>
        </w:rPr>
        <w:t>The director may require that reports be filed by electronic transmission.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452A.15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2002 Iowa Acts, House File 2622</w:t>
      </w:r>
      <w:r>
        <w:rPr>
          <w:rFonts w:ascii="Times New Roman" w:hAnsi="Times New Roman"/>
          <w:b w:val="false"/>
          <w:i w:val="false"/>
          <w:color w:val="000000"/>
          <w:sz w:val="22"/>
        </w:rPr>
        <w:t xml:space="preserve"> and Senate File 2305.</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15.pdf" Type="http://schemas.openxmlformats.org/officeDocument/2006/relationships/hyperlink" Id="rId4"/>
    <Relationship TargetMode="External" Target="https://www.legis.iowa.gov/docs/ico/chapter/452A.1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