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701—260.15</w:t>
      </w:r>
      <w:r>
        <w:rPr>
          <w:rFonts w:ascii="Times New Roman" w:hAnsi="Times New Roman"/>
          <w:b/>
          <w:i w:val="false"/>
          <w:color w:val="000000"/>
          <w:sz w:val="22"/>
        </w:rPr>
        <w:t xml:space="preserve">(452A) </w:t>
      </w:r>
      <w:r>
        <w:rPr>
          <w:rFonts w:ascii="Times New Roman" w:hAnsi="Times New Roman"/>
          <w:b/>
          <w:i w:val="false"/>
          <w:color w:val="000000"/>
          <w:sz w:val="22"/>
        </w:rPr>
        <w:t xml:space="preserve">Terminal and nonterminal storage facility reports and records. </w:t>
      </w:r>
      <w:r>
        <w:rPr>
          <w:rFonts w:ascii="Times New Roman" w:hAnsi="Times New Roman"/>
          <w:b w:val="false"/>
          <w:i w:val="false"/>
          <w:color w:val="000000"/>
          <w:sz w:val="22"/>
        </w:rPr>
        <w:t>Each terminal and nonterminal storage facility operating in Iowa must file a monthly inventory report with the department. The report shall include, but not be limited to, the following information:</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name and license number of the company that owns and operates the terminal or nonterminal storage facility.</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location of the terminal or nonterminal storage facility.</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month and year covered by the report.</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terminal code assigned by the Internal Revenue Service or the storage facility license number assigned by the department.</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The beginning inventory.</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The total receipts for the month including for each receipt: (a) the gross gallons received by schedule code, by fuel type and, if diesel fuel, whether dyed or undyed fuel, (b) the bill of lading number, (c) the date of receipt, (d) the seller, (e) the carrier, (f) the mode of transportation, and (g) the destination state.</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The total withdrawals for the month, including for each withdrawal: (a) the gross gallons withdrawn by schedule code and by fuel type and, if diesel fuel, whether dyed or undyed fuel, (b) the bill of lading number, (c) the date of withdrawal, (d) the consignor, (e) the consignee, (f) the mode of transportation, (g) the destination state, (h) the origin state, and (i) the carrier.</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The actual ending inventory and any gains or losses.</w:t>
      </w:r>
    </w:p>
    <w:p>
      <w:pPr>
        <w:spacing w:before="0" w:after="0"/>
        <w:ind w:left="120"/>
        <w:jc w:val="left"/>
      </w:pPr>
      <w:r>
        <w:rPr>
          <w:rFonts w:ascii="Times New Roman" w:hAnsi="Times New Roman"/>
          <w:b w:val="false"/>
          <w:i w:val="false"/>
          <w:color w:val="000000"/>
          <w:sz w:val="22"/>
        </w:rPr>
        <w:t>     9.   </w:t>
      </w:r>
      <w:r>
        <w:rPr>
          <w:rFonts w:ascii="Times New Roman" w:hAnsi="Times New Roman"/>
          <w:b w:val="false"/>
          <w:i w:val="false"/>
          <w:color w:val="000000"/>
          <w:sz w:val="22"/>
        </w:rPr>
        <w:t>The signature or electronic signature of the person responsible for preparing the report.</w:t>
      </w:r>
    </w:p>
    <w:p>
      <w:pPr>
        <w:spacing w:before="0" w:after="0"/>
        <w:ind w:left="120"/>
        <w:jc w:val="left"/>
      </w:pPr>
      <w:r>
        <w:rPr>
          <w:rFonts w:ascii="Times New Roman" w:hAnsi="Times New Roman"/>
          <w:b w:val="false"/>
          <w:i w:val="false"/>
          <w:color w:val="000000"/>
          <w:sz w:val="22"/>
        </w:rPr>
        <w:t>     10.   </w:t>
      </w:r>
      <w:r>
        <w:rPr>
          <w:rFonts w:ascii="Times New Roman" w:hAnsi="Times New Roman"/>
          <w:b w:val="false"/>
          <w:i w:val="false"/>
          <w:color w:val="000000"/>
          <w:sz w:val="22"/>
        </w:rPr>
        <w:t>Such additional information as the department may require.</w:t>
      </w:r>
    </w:p>
    <w:p>
      <w:pPr>
        <w:spacing w:before="0" w:after="0"/>
        <w:ind w:left="120"/>
        <w:jc w:val="left"/>
      </w:pPr>
      <w:r>
        <w:rPr>
          <w:rFonts w:ascii="Times New Roman" w:hAnsi="Times New Roman"/>
          <w:b w:val="false"/>
          <w:i w:val="false"/>
          <w:color w:val="000000"/>
          <w:sz w:val="22"/>
        </w:rPr>
        <w:t>For periods beginning on or after July 1, 2002, the director may impose a civil penalty against any person who fails to file the reports required under the motor fuel tax laws. The penalty shall be $100 for the first violation and shall increase by $100 for each additional violation occurring in the calendar year in which the first violation occurred.</w:t>
      </w:r>
    </w:p>
    <w:p>
      <w:pPr>
        <w:spacing w:before="0" w:after="0"/>
        <w:ind w:left="120"/>
        <w:jc w:val="left"/>
      </w:pPr>
      <w:r>
        <w:rPr>
          <w:rFonts w:ascii="Times New Roman" w:hAnsi="Times New Roman"/>
          <w:b w:val="false"/>
          <w:i w:val="false"/>
          <w:color w:val="000000"/>
          <w:sz w:val="22"/>
        </w:rPr>
        <w:t>The director may require that reports be filed by electronic transmission. All licensees must file reports by electronic transmission beginning September 1, 2006.</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1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