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701—260.12</w:t>
      </w:r>
      <w:r>
        <w:rPr>
          <w:rFonts w:ascii="Times New Roman" w:hAnsi="Times New Roman"/>
          <w:b/>
          <w:i w:val="false"/>
          <w:color w:val="000000"/>
          <w:sz w:val="22"/>
        </w:rPr>
        <w:t xml:space="preserve">(452A) </w:t>
      </w:r>
      <w:r>
        <w:rPr>
          <w:rFonts w:ascii="Times New Roman" w:hAnsi="Times New Roman"/>
          <w:b/>
          <w:i w:val="false"/>
          <w:color w:val="000000"/>
          <w:sz w:val="22"/>
        </w:rPr>
        <w:t xml:space="preserve">Income tax credit in lieu of refund. </w:t>
      </w:r>
      <w:r>
        <w:rPr>
          <w:rFonts w:ascii="Times New Roman" w:hAnsi="Times New Roman"/>
          <w:b w:val="false"/>
          <w:i w:val="false"/>
          <w:color w:val="000000"/>
          <w:sz w:val="22"/>
        </w:rPr>
        <w:t xml:space="preserve">In lieu of applying for a refund permit, a person or corporation may claim the refund allowable under Iowa Code section </w:t>
      </w:r>
      <w:hyperlink r:id="rId4">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as an income tax credit. If a person or corporation holds a refund permit and elects to receive an income tax credit, the person or corporation must cancel the refund permit within 30 days after the first day of its year or the permit becomes invalid and application must be made for a new permit. Once the election to receive an income tax credit has been made, it remains in effect until the election is changed. The income tax credit is not available for refunds relating to casualty losses, transport diversions, pumping credits, blending errors, idle time, power takeoffs, reefer units, exports by distributors, and excess tax paid on ethanol blended gasoline.</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452A.17(2)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452A.21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Senate File 136</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17.pdf" Type="http://schemas.openxmlformats.org/officeDocument/2006/relationships/hyperlink" Id="rId4"/>
    <Relationship TargetMode="External" Target="https://www.legis.iowa.gov/docs/ico/chapter/422.110.pdf" Type="http://schemas.openxmlformats.org/officeDocument/2006/relationships/hyperlink" Id="rId5"/>
    <Relationship TargetMode="External" Target="https://www.legis.iowa.gov/docs/ico/chapter/452A.17.pdf" Type="http://schemas.openxmlformats.org/officeDocument/2006/relationships/hyperlink" Id="rId6"/>
    <Relationship TargetMode="External" Target="https://www.legis.iowa.gov/docs/ico/chapter/452A.2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