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701—259.7</w:t>
      </w:r>
      <w:r>
        <w:rPr>
          <w:rFonts w:ascii="Times New Roman" w:hAnsi="Times New Roman"/>
          <w:b/>
          <w:i w:val="false"/>
          <w:color w:val="000000"/>
          <w:sz w:val="22"/>
        </w:rPr>
        <w:t xml:space="preserve">(452A) </w:t>
      </w:r>
      <w:r>
        <w:rPr>
          <w:rFonts w:ascii="Times New Roman" w:hAnsi="Times New Roman"/>
          <w:b/>
          <w:i w:val="false"/>
          <w:color w:val="000000"/>
          <w:sz w:val="22"/>
        </w:rPr>
        <w:t xml:space="preserve">Extension of time to file. </w:t>
      </w:r>
      <w:r>
        <w:rPr>
          <w:rFonts w:ascii="Times New Roman" w:hAnsi="Times New Roman"/>
          <w:b w:val="false"/>
          <w:i w:val="false"/>
          <w:color w:val="000000"/>
          <w:sz w:val="22"/>
        </w:rPr>
        <w:t>The department may grant an extension for the filing of any required return or tax payment or both.</w:t>
      </w:r>
    </w:p>
    <w:p>
      <w:pPr>
        <w:spacing w:before="0" w:after="0"/>
        <w:ind w:left="120"/>
        <w:jc w:val="left"/>
      </w:pPr>
      <w:r>
        <w:rPr>
          <w:rFonts w:ascii="Times New Roman" w:hAnsi="Times New Roman"/>
          <w:b w:val="false"/>
          <w:i w:val="false"/>
          <w:color w:val="000000"/>
          <w:sz w:val="22"/>
        </w:rPr>
        <w:t xml:space="preserve">In order for an extension to be granted, the application requesting the extension must be filed, in writing, with the department prior to the due date of the return or remittance. In determining whether an application for extension is timely filed, the provisions of rule </w:t>
      </w:r>
      <w:hyperlink r:id="rId4">
        <w:r>
          <w:rPr>
            <w:rStyle w:val="Hyperlink"/>
            <w:rFonts w:ascii="Times New Roman" w:hAnsi="Times New Roman"/>
            <w:b w:val="false"/>
            <w:i w:val="false"/>
            <w:color w:val="000000"/>
            <w:sz w:val="22"/>
          </w:rPr>
          <w:t>701—259.6</w:t>
        </w:r>
      </w:hyperlink>
      <w:r>
        <w:rPr>
          <w:rFonts w:ascii="Times New Roman" w:hAnsi="Times New Roman"/>
          <w:b w:val="false"/>
          <w:i w:val="false"/>
          <w:color w:val="000000"/>
          <w:sz w:val="22"/>
        </w:rPr>
        <w:t>(452A) shall apply. The application for extension must be accompanied by an explanation of the circumstances justifying such extension, and in no event will the extension period exceed 30 days.</w:t>
      </w:r>
    </w:p>
    <w:p>
      <w:pPr>
        <w:spacing w:before="0" w:after="0"/>
        <w:ind w:left="120"/>
        <w:jc w:val="left"/>
      </w:pPr>
      <w:r>
        <w:rPr>
          <w:rFonts w:ascii="Times New Roman" w:hAnsi="Times New Roman"/>
          <w:b w:val="false"/>
          <w:i w:val="false"/>
          <w:color w:val="000000"/>
          <w:sz w:val="22"/>
        </w:rPr>
        <w:t xml:space="preserve">In the event an extension is granted, the penalties under Iowa Code section </w:t>
      </w:r>
      <w:hyperlink r:id="rId5">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late-filed returns or remittances will not accrue until the expiration of the extension period, but the interest on tax due under the same section will accrue as of the original filing date.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9.6.pdf" Type="http://schemas.openxmlformats.org/officeDocument/2006/relationships/hyperlink" Id="rId4"/>
    <Relationship TargetMode="External" Target="https://www.legis.iowa.gov/docs/ico/chapter/452A.65.pdf" Type="http://schemas.openxmlformats.org/officeDocument/2006/relationships/hyperlink" Id="rId5"/>
    <Relationship TargetMode="External" Target="https://www.legis.iowa.gov/docs/ico/chapter/452A.6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