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701—259.6</w:t>
      </w:r>
      <w:r>
        <w:rPr>
          <w:rFonts w:ascii="Times New Roman" w:hAnsi="Times New Roman"/>
          <w:b/>
          <w:i w:val="false"/>
          <w:color w:val="000000"/>
          <w:sz w:val="22"/>
        </w:rPr>
        <w:t xml:space="preserve">(452A) </w:t>
      </w:r>
      <w:r>
        <w:rPr>
          <w:rFonts w:ascii="Times New Roman" w:hAnsi="Times New Roman"/>
          <w:b/>
          <w:i w:val="false"/>
          <w:color w:val="000000"/>
          <w:sz w:val="22"/>
        </w:rPr>
        <w:t xml:space="preserve">Timely filing of returns, reports, remittances, applications, or requests. </w:t>
      </w:r>
      <w:r>
        <w:rPr>
          <w:rFonts w:ascii="Times New Roman" w:hAnsi="Times New Roman"/>
          <w:b w:val="false"/>
          <w:i w:val="false"/>
          <w:color w:val="000000"/>
          <w:sz w:val="22"/>
        </w:rPr>
        <w:t xml:space="preserve">The returns, reports, remittances, applications, or requests required under Iowa Code chapter </w:t>
      </w:r>
      <w:hyperlink r:id="rId4">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shall be deemed filed within the required time if (1) postpaid, (2) properly addressed, and (3) postmarked on or before midnight of the day on which due and payable. Any return that is not signed and any return which does not contain substantially all of the pertinent information are not considered “filed” until such time as the taxpayer signs or supplies the information to the department. </w:t>
      </w:r>
      <w:r>
        <w:rPr>
          <w:rFonts w:ascii="Times New Roman" w:hAnsi="Times New Roman"/>
          <w:b w:val="false"/>
          <w:i/>
          <w:color w:val="000000"/>
          <w:sz w:val="22"/>
        </w:rPr>
        <w:t>Miller Oil Company v.</w:t>
      </w:r>
      <w:r>
        <w:rPr>
          <w:rFonts w:ascii="Times New Roman" w:hAnsi="Times New Roman"/>
          <w:b w:val="false"/>
          <w:i/>
          <w:color w:val="000000"/>
          <w:sz w:val="22"/>
        </w:rPr>
        <w:t> </w:t>
      </w:r>
    </w:p>
    <w:p>
      <w:pPr>
        <w:spacing w:before="0" w:after="0"/>
        <w:ind w:left="120"/>
        <w:jc w:val="left"/>
      </w:pPr>
      <w:r>
        <w:rPr>
          <w:rFonts w:ascii="Times New Roman" w:hAnsi="Times New Roman"/>
          <w:b w:val="false"/>
          <w:i/>
          <w:color w:val="000000"/>
          <w:sz w:val="22"/>
        </w:rPr>
        <w:t>Abrahamson</w:t>
      </w:r>
      <w:r>
        <w:rPr>
          <w:rFonts w:ascii="Times New Roman" w:hAnsi="Times New Roman"/>
          <w:b w:val="false"/>
          <w:i w:val="false"/>
          <w:color w:val="000000"/>
          <w:sz w:val="22"/>
        </w:rPr>
        <w:t xml:space="preserve">, 252 Iowa 1058, 109 N.W.2d 610 (1961), </w:t>
      </w:r>
      <w:r>
        <w:rPr>
          <w:rFonts w:ascii="Times New Roman" w:hAnsi="Times New Roman"/>
          <w:b w:val="false"/>
          <w:i/>
          <w:color w:val="000000"/>
          <w:sz w:val="22"/>
        </w:rPr>
        <w:t>Severs v.</w:t>
      </w:r>
      <w:r>
        <w:rPr>
          <w:rFonts w:ascii="Times New Roman" w:hAnsi="Times New Roman"/>
          <w:b w:val="false"/>
          <w:i/>
          <w:color w:val="000000"/>
          <w:sz w:val="22"/>
        </w:rPr>
        <w:t> </w:t>
      </w:r>
    </w:p>
    <w:p>
      <w:pPr>
        <w:spacing w:before="0" w:after="0"/>
        <w:ind w:left="0"/>
        <w:jc w:val="left"/>
      </w:pPr>
      <w:r>
        <w:rPr>
          <w:rFonts w:ascii="Times New Roman" w:hAnsi="Times New Roman"/>
          <w:b w:val="false"/>
          <w:i/>
          <w:color w:val="000000"/>
          <w:sz w:val="22"/>
        </w:rPr>
        <w:t>Abrahamson</w:t>
      </w:r>
      <w:r>
        <w:rPr>
          <w:rFonts w:ascii="Times New Roman" w:hAnsi="Times New Roman"/>
          <w:b w:val="false"/>
          <w:i w:val="false"/>
          <w:color w:val="000000"/>
          <w:sz w:val="22"/>
        </w:rPr>
        <w:t>, 255 Iowa 979, 124 N.W.2d 150 (1963). The filing of a return within the period prescribed by law and payment of the tax required to be shown thereon are simultaneous acts, unless remittance is required to be transmitted electronically; and if either condition is not met, a penalty will be assessed. Remittances transmitted electronically are considered to have been made on the date the remittance is added to the bank account designated by the treasurer of the state of Iowa. If the final filing date falls on a Saturday, Sunday, or legal holiday, the next secular or business day is the final filing date. The director may require by rule that reports and returns be filed by electronic transmission. Effective for returns due after July 1, 2006, all licensees must file returns by electronic transmission. All suppliers, restricted suppliers, importers, terminals, blenders, and nonterminal storage facilities with at least 5,000 gallons of product on their return or report must also file the schedules which support the return or report by electronic transmission.</w:t>
      </w:r>
    </w:p>
    <w:p>
      <w:pPr>
        <w:spacing w:before="0" w:after="0"/>
        <w:ind w:left="120"/>
        <w:jc w:val="left"/>
      </w:pPr>
      <w:r>
        <w:rPr>
          <w:rFonts w:ascii="Times New Roman" w:hAnsi="Times New Roman"/>
          <w:b w:val="false"/>
          <w:i w:val="false"/>
          <w:color w:val="000000"/>
          <w:sz w:val="22"/>
        </w:rPr>
        <w:t>All returns, reports, remittances, applications, or requests should be mailed to: Iowa Department of Revenue, Motor Fuel Unit, Hoover State Office Building, Des Moines, Iowa 50319, unless electronic transmission is required.</w:t>
      </w:r>
    </w:p>
    <w:p>
      <w:pPr>
        <w:spacing w:before="0" w:after="0"/>
        <w:ind w:left="120"/>
        <w:jc w:val="left"/>
      </w:pPr>
      <w:r>
        <w:rPr>
          <w:rFonts w:ascii="Times New Roman" w:hAnsi="Times New Roman"/>
          <w:b w:val="false"/>
          <w:i w:val="false"/>
          <w:color w:val="000000"/>
          <w:sz w:val="22"/>
        </w:rPr>
        <w:t xml:space="preserve">In the event a dispute arises as to the time of filing, or a return, report, or remittance is not received by the department, the provisions of Iowa Code section </w:t>
      </w:r>
      <w:hyperlink r:id="rId5">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are controlling. This rule applies only when the document is not received or the postmark on the envelope is illegible, erroneous, or omitted.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452A.61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pdf" Type="http://schemas.openxmlformats.org/officeDocument/2006/relationships/hyperlink" Id="rId4"/>
    <Relationship TargetMode="External" Target="https://www.legis.iowa.gov/docs/ico/chapter/622.105.pdf" Type="http://schemas.openxmlformats.org/officeDocument/2006/relationships/hyperlink" Id="rId5"/>
    <Relationship TargetMode="External" Target="https://www.legis.iowa.gov/docs/ico/chapter/452A.8.pdf" Type="http://schemas.openxmlformats.org/officeDocument/2006/relationships/hyperlink" Id="rId6"/>
    <Relationship TargetMode="External" Target="https://www.legis.iowa.gov/docs/ico/chapter/452A.6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