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701—259.5</w:t>
      </w:r>
      <w:r>
        <w:rPr>
          <w:rFonts w:ascii="Times New Roman" w:hAnsi="Times New Roman"/>
          <w:b/>
          <w:i w:val="false"/>
          <w:color w:val="000000"/>
          <w:sz w:val="22"/>
        </w:rPr>
        <w:t xml:space="preserve">(452A) </w:t>
      </w:r>
      <w:r>
        <w:rPr>
          <w:rFonts w:ascii="Times New Roman" w:hAnsi="Times New Roman"/>
          <w:b/>
          <w:i w:val="false"/>
          <w:color w:val="000000"/>
          <w:sz w:val="22"/>
        </w:rPr>
        <w:t xml:space="preserve">Estimate gallonage. </w:t>
      </w:r>
      <w:r>
        <w:rPr>
          <w:rFonts w:ascii="Times New Roman" w:hAnsi="Times New Roman"/>
          <w:b w:val="false"/>
          <w:i w:val="false"/>
          <w:color w:val="000000"/>
          <w:sz w:val="22"/>
        </w:rPr>
        <w:t>It is the duty of the department to collect all taxes on fuel due the state of Iowa. In the event the taxpayer’s records are lacking or inadequate to support any return filed by the taxpayer, or to determine the taxpayer’s liability, the department has the power to estimate the gallonage upon which tax is due. This estimation will be based upon such factors as, but not limited to, the following: (1) prior experience of the taxpayer, (2) taxpayers in similar situations, (3) industry averages, (4) records of suppliers or customers, and (5) other pertinent information the department may possess, obtain or examine.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6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