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701—259.3</w:t>
      </w:r>
      <w:r>
        <w:rPr>
          <w:rFonts w:ascii="Times New Roman" w:hAnsi="Times New Roman"/>
          <w:b/>
          <w:i w:val="false"/>
          <w:color w:val="000000"/>
          <w:sz w:val="22"/>
        </w:rPr>
        <w:t xml:space="preserve">(452A) </w:t>
      </w:r>
      <w:r>
        <w:rPr>
          <w:rFonts w:ascii="Times New Roman" w:hAnsi="Times New Roman"/>
          <w:b/>
          <w:i w:val="false"/>
          <w:color w:val="000000"/>
          <w:sz w:val="22"/>
        </w:rPr>
        <w:t xml:space="preserve">Taxpayers required to keep records. </w:t>
      </w:r>
      <w:r>
        <w:rPr>
          <w:rFonts w:ascii="Times New Roman" w:hAnsi="Times New Roman"/>
          <w:b w:val="false"/>
          <w:i w:val="false"/>
          <w:color w:val="000000"/>
          <w:sz w:val="22"/>
        </w:rPr>
        <w:t xml:space="preserve">The records required to be kept by this rule must be preserved for a period of three years and will be open for examination by the department during this period of time. The department, after an audit and examination of the records, may authorize the disposal of the records required to be kept upon written request by the taxpayer. For taxpayers using an electronic data interchange process or technology also see </w:t>
      </w:r>
      <w:hyperlink r:id="rId4">
        <w:r>
          <w:rPr>
            <w:rStyle w:val="Hyperlink"/>
            <w:rFonts w:ascii="Times New Roman" w:hAnsi="Times New Roman"/>
            <w:b w:val="false"/>
            <w:i w:val="false"/>
            <w:color w:val="000000"/>
            <w:sz w:val="22"/>
          </w:rPr>
          <w:t>701—subrule 11.4(4)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259.3(1)</w:t>
      </w:r>
      <w:r>
        <w:rPr>
          <w:rFonts w:ascii="Times New Roman" w:hAnsi="Times New Roman"/>
          <w:b w:val="false"/>
          <w:i w:val="false"/>
          <w:color w:val="000000"/>
          <w:sz w:val="22"/>
        </w:rPr>
        <w:t> </w:t>
      </w:r>
      <w:r>
        <w:rPr>
          <w:rFonts w:ascii="Times New Roman" w:hAnsi="Times New Roman"/>
          <w:b w:val="false"/>
          <w:i/>
          <w:color w:val="000000"/>
          <w:sz w:val="22"/>
        </w:rPr>
        <w:t xml:space="preserve">Motor fuel and special fuel supplier. </w:t>
      </w:r>
      <w:r>
        <w:rPr>
          <w:rFonts w:ascii="Times New Roman" w:hAnsi="Times New Roman"/>
          <w:b w:val="false"/>
          <w:i w:val="false"/>
          <w:color w:val="000000"/>
          <w:sz w:val="22"/>
        </w:rPr>
        <w:t xml:space="preserve">Every supplier required to file a monthly return under Iowa Code section </w:t>
      </w:r>
      <w:hyperlink r:id="rId5">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is required to keep and preserve the following records relating to the purchase or sale of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bills of lading or manifests.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sales invoices.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Sales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Copies of filed returns and supporting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Record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Export schedules.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259.3(2)</w:t>
      </w:r>
      <w:r>
        <w:rPr>
          <w:rFonts w:ascii="Times New Roman" w:hAnsi="Times New Roman"/>
          <w:b w:val="false"/>
          <w:i w:val="false"/>
          <w:color w:val="000000"/>
          <w:sz w:val="22"/>
        </w:rPr>
        <w:t> </w:t>
      </w:r>
      <w:r>
        <w:rPr>
          <w:rFonts w:ascii="Times New Roman" w:hAnsi="Times New Roman"/>
          <w:b w:val="false"/>
          <w:i/>
          <w:color w:val="000000"/>
          <w:sz w:val="22"/>
        </w:rPr>
        <w:t xml:space="preserve">Restrictive supplier. </w:t>
      </w:r>
      <w:r>
        <w:rPr>
          <w:rFonts w:ascii="Times New Roman" w:hAnsi="Times New Roman"/>
          <w:b w:val="false"/>
          <w:i w:val="false"/>
          <w:color w:val="000000"/>
          <w:sz w:val="22"/>
        </w:rPr>
        <w:t xml:space="preserve">Every restrictive supplier required to file a monthly return under Iowa Code section </w:t>
      </w:r>
      <w:hyperlink r:id="rId6">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is required to keep and preserve the following records relating to the purchase or sale of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bills of lading or manifests.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Purchase invoices.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sales invoices.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Purchase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Sales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filed returns and supporting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Record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259.3(3)</w:t>
      </w:r>
      <w:r>
        <w:rPr>
          <w:rFonts w:ascii="Times New Roman" w:hAnsi="Times New Roman"/>
          <w:b w:val="false"/>
          <w:i w:val="false"/>
          <w:color w:val="000000"/>
          <w:sz w:val="22"/>
        </w:rPr>
        <w:t> </w:t>
      </w:r>
      <w:r>
        <w:rPr>
          <w:rFonts w:ascii="Times New Roman" w:hAnsi="Times New Roman"/>
          <w:b w:val="false"/>
          <w:i/>
          <w:color w:val="000000"/>
          <w:sz w:val="22"/>
        </w:rPr>
        <w:t xml:space="preserve">Importer. </w:t>
      </w:r>
      <w:r>
        <w:rPr>
          <w:rFonts w:ascii="Times New Roman" w:hAnsi="Times New Roman"/>
          <w:b w:val="false"/>
          <w:i w:val="false"/>
          <w:color w:val="000000"/>
          <w:sz w:val="22"/>
        </w:rPr>
        <w:t xml:space="preserve">Every importer required to file a semimonthly return under Iowa Code section </w:t>
      </w:r>
      <w:hyperlink r:id="rId7">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is required to keep and preserve the following records relating to the purchase or sale of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bills of lading or manifests.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Purchase invoices.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sales invoices.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Purchase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Sales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filed returns and supporting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Record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259.3(4)</w:t>
      </w:r>
      <w:r>
        <w:rPr>
          <w:rFonts w:ascii="Times New Roman" w:hAnsi="Times New Roman"/>
          <w:b w:val="false"/>
          <w:i w:val="false"/>
          <w:color w:val="000000"/>
          <w:sz w:val="22"/>
        </w:rPr>
        <w:t> </w:t>
      </w:r>
      <w:r>
        <w:rPr>
          <w:rFonts w:ascii="Times New Roman" w:hAnsi="Times New Roman"/>
          <w:b w:val="false"/>
          <w:i/>
          <w:color w:val="000000"/>
          <w:sz w:val="22"/>
        </w:rPr>
        <w:t xml:space="preserve">Exporter. </w:t>
      </w:r>
      <w:r>
        <w:rPr>
          <w:rFonts w:ascii="Times New Roman" w:hAnsi="Times New Roman"/>
          <w:b w:val="false"/>
          <w:i w:val="false"/>
          <w:color w:val="000000"/>
          <w:sz w:val="22"/>
        </w:rPr>
        <w:t>Every exporter is required to keep and preserve the following records relating to the purchase of fuel for export: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bills of lading or manifests.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Purchase invoices and purchase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reports, returns, and supporting schedules filed with the importing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259.3(5)</w:t>
      </w:r>
      <w:r>
        <w:rPr>
          <w:rFonts w:ascii="Times New Roman" w:hAnsi="Times New Roman"/>
          <w:b w:val="false"/>
          <w:i w:val="false"/>
          <w:color w:val="000000"/>
          <w:sz w:val="22"/>
        </w:rPr>
        <w:t> </w:t>
      </w:r>
      <w:r>
        <w:rPr>
          <w:rFonts w:ascii="Times New Roman" w:hAnsi="Times New Roman"/>
          <w:b w:val="false"/>
          <w:i/>
          <w:color w:val="000000"/>
          <w:sz w:val="22"/>
        </w:rPr>
        <w:t xml:space="preserve">Compressed natural gas, liquefied natural gas, and liquefied petroleum gas dealers and users. </w:t>
      </w:r>
      <w:r>
        <w:rPr>
          <w:rFonts w:ascii="Times New Roman" w:hAnsi="Times New Roman"/>
          <w:b w:val="false"/>
          <w:i w:val="false"/>
          <w:color w:val="000000"/>
          <w:sz w:val="22"/>
        </w:rPr>
        <w:t>Every compressed natural gas, liquefied natural gas, and liquefied petroleum gas dealer and user is required to keep and preserve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purchase invoice or bills of lading.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sales invoices and sales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Exemption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filed returns and supporting schedules.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259.3(6)</w:t>
      </w:r>
      <w:r>
        <w:rPr>
          <w:rFonts w:ascii="Times New Roman" w:hAnsi="Times New Roman"/>
          <w:b w:val="false"/>
          <w:i w:val="false"/>
          <w:color w:val="000000"/>
          <w:sz w:val="22"/>
        </w:rPr>
        <w:t> </w:t>
      </w:r>
      <w:r>
        <w:rPr>
          <w:rFonts w:ascii="Times New Roman" w:hAnsi="Times New Roman"/>
          <w:b w:val="false"/>
          <w:i/>
          <w:color w:val="000000"/>
          <w:sz w:val="22"/>
        </w:rPr>
        <w:t xml:space="preserve">Terminal or nonterminal storage facility operator. </w:t>
      </w:r>
      <w:r>
        <w:rPr>
          <w:rFonts w:ascii="Times New Roman" w:hAnsi="Times New Roman"/>
          <w:b w:val="false"/>
          <w:i w:val="false"/>
          <w:color w:val="000000"/>
          <w:sz w:val="22"/>
        </w:rPr>
        <w:t xml:space="preserve">Every person required to report under Iowa Code section </w:t>
      </w:r>
      <w:hyperlink r:id="rId8">
        <w:r>
          <w:rPr>
            <w:rStyle w:val="Hyperlink"/>
            <w:rFonts w:ascii="Times New Roman" w:hAnsi="Times New Roman"/>
            <w:b w:val="false"/>
            <w:i w:val="false"/>
            <w:color w:val="000000"/>
            <w:sz w:val="22"/>
          </w:rPr>
          <w:t>452A.15(2)</w:t>
        </w:r>
      </w:hyperlink>
      <w:r>
        <w:rPr>
          <w:rFonts w:ascii="Times New Roman" w:hAnsi="Times New Roman"/>
          <w:b w:val="false"/>
          <w:i w:val="false"/>
          <w:color w:val="000000"/>
          <w:sz w:val="22"/>
        </w:rPr>
        <w:t xml:space="preserve"> or </w:t>
      </w:r>
      <w:r>
        <w:rPr>
          <w:rFonts w:ascii="Times New Roman" w:hAnsi="Times New Roman"/>
          <w:b w:val="false"/>
          <w:i w:val="false"/>
          <w:color w:val="000000"/>
          <w:sz w:val="22"/>
        </w:rPr>
        <w:t>2002 Iowa Acts, House File 2622</w:t>
      </w:r>
      <w:r>
        <w:rPr>
          <w:rFonts w:ascii="Times New Roman" w:hAnsi="Times New Roman"/>
          <w:b w:val="false"/>
          <w:i w:val="false"/>
          <w:color w:val="000000"/>
          <w:sz w:val="22"/>
        </w:rPr>
        <w:t>, section 25, as an operator of a terminal or nonterminal storage facility shall keep and preserve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to evidence the acquisition of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Bills of lading or manifests covering the withdrawal of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filed reports and supporting schedules.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259.3(7)</w:t>
      </w:r>
      <w:r>
        <w:rPr>
          <w:rFonts w:ascii="Times New Roman" w:hAnsi="Times New Roman"/>
          <w:b w:val="false"/>
          <w:i w:val="false"/>
          <w:color w:val="000000"/>
          <w:sz w:val="22"/>
        </w:rPr>
        <w:t> </w:t>
      </w:r>
      <w:r>
        <w:rPr>
          <w:rFonts w:ascii="Times New Roman" w:hAnsi="Times New Roman"/>
          <w:b w:val="false"/>
          <w:i/>
          <w:color w:val="000000"/>
          <w:sz w:val="22"/>
        </w:rPr>
        <w:t xml:space="preserve">Distributor. </w:t>
      </w:r>
      <w:r>
        <w:rPr>
          <w:rFonts w:ascii="Times New Roman" w:hAnsi="Times New Roman"/>
          <w:b w:val="false"/>
          <w:i w:val="false"/>
          <w:color w:val="000000"/>
          <w:sz w:val="22"/>
        </w:rPr>
        <w:t>Every distributor handling motor fuel or special fuel is required to preserve and keep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Delivery tickets.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Sales invoices.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Bills of lading.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259.3(8)</w:t>
      </w:r>
      <w:r>
        <w:rPr>
          <w:rFonts w:ascii="Times New Roman" w:hAnsi="Times New Roman"/>
          <w:b w:val="false"/>
          <w:i w:val="false"/>
          <w:color w:val="000000"/>
          <w:sz w:val="22"/>
        </w:rPr>
        <w:t> </w:t>
      </w:r>
      <w:r>
        <w:rPr>
          <w:rFonts w:ascii="Times New Roman" w:hAnsi="Times New Roman"/>
          <w:b w:val="false"/>
          <w:i/>
          <w:color w:val="000000"/>
          <w:sz w:val="22"/>
        </w:rPr>
        <w:t xml:space="preserve">Blender. </w:t>
      </w:r>
      <w:r>
        <w:rPr>
          <w:rFonts w:ascii="Times New Roman" w:hAnsi="Times New Roman"/>
          <w:b w:val="false"/>
          <w:i w:val="false"/>
          <w:color w:val="000000"/>
          <w:sz w:val="22"/>
        </w:rPr>
        <w:t>Every blender is required to keep and preserve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Purchase invoices for motor fuel, special fuel, and alcohol.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Bills of lading.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filed returns and supporting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sales invoices.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259.3(9)</w:t>
      </w:r>
      <w:r>
        <w:rPr>
          <w:rFonts w:ascii="Times New Roman" w:hAnsi="Times New Roman"/>
          <w:b w:val="false"/>
          <w:i w:val="false"/>
          <w:color w:val="000000"/>
          <w:sz w:val="22"/>
        </w:rPr>
        <w:t> </w:t>
      </w:r>
      <w:r>
        <w:rPr>
          <w:rFonts w:ascii="Times New Roman" w:hAnsi="Times New Roman"/>
          <w:b w:val="false"/>
          <w:i/>
          <w:color w:val="000000"/>
          <w:sz w:val="22"/>
        </w:rPr>
        <w:t xml:space="preserve">Dealer. </w:t>
      </w:r>
      <w:r>
        <w:rPr>
          <w:rFonts w:ascii="Times New Roman" w:hAnsi="Times New Roman"/>
          <w:b w:val="false"/>
          <w:i w:val="false"/>
          <w:color w:val="000000"/>
          <w:sz w:val="22"/>
        </w:rPr>
        <w:t>Every dealer (retailer) is required to keep and preserve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Purchase invoices.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Purchase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Delivery tickets.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Sales invoices.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Sales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Record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259.3(10)</w:t>
      </w:r>
      <w:r>
        <w:rPr>
          <w:rFonts w:ascii="Times New Roman" w:hAnsi="Times New Roman"/>
          <w:b w:val="false"/>
          <w:i w:val="false"/>
          <w:color w:val="000000"/>
          <w:sz w:val="22"/>
        </w:rPr>
        <w:t> </w:t>
      </w:r>
      <w:r>
        <w:rPr>
          <w:rFonts w:ascii="Times New Roman" w:hAnsi="Times New Roman"/>
          <w:b w:val="false"/>
          <w:i/>
          <w:color w:val="000000"/>
          <w:sz w:val="22"/>
        </w:rPr>
        <w:t xml:space="preserve">Microfilm and related record systems. </w:t>
      </w:r>
      <w:r>
        <w:rPr>
          <w:rFonts w:ascii="Times New Roman" w:hAnsi="Times New Roman"/>
          <w:b w:val="false"/>
          <w:i w:val="false"/>
          <w:color w:val="000000"/>
          <w:sz w:val="22"/>
        </w:rPr>
        <w:t>Microfilm, microfiche, COM (computer on machine), and other related reduction in storage systems will be referred to as “microfilm” in this rule.</w:t>
      </w:r>
    </w:p>
    <w:p>
      <w:pPr>
        <w:spacing w:before="0" w:after="0"/>
        <w:ind w:left="120"/>
        <w:jc w:val="both"/>
      </w:pPr>
      <w:r>
        <w:rPr>
          <w:rFonts w:ascii="Times New Roman" w:hAnsi="Times New Roman"/>
          <w:b w:val="false"/>
          <w:i w:val="false"/>
          <w:color w:val="000000"/>
          <w:sz w:val="22"/>
        </w:rPr>
        <w:t>Microfilm reproductions of general books of account, such as a cash book, journals, voucher registers, and ledgers, are not acceptable other than those that have been approved by the Internal Revenue Service under Revenue Procedure 76-43, Section 3.02. However, microfilm reproductions of supporting records of detail, such as sales invoices and purchase invoices, may be allowed providing there is no administrative rule or Iowa Code section requiring the original and all of the following conditions are met and accepted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Appropriate facilities are provided to ensure the preservation and readability of the films.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Microfilm rolls are indexed, cross-referenced, labeled to show beginning and ending numbers or beginning and ending alphabetical listing of documents included, and are systematically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taxpayer agrees to provide transcripts of any information contained on microfilm which may be required for purposes of verification of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Proper facilities are provided for the ready inspection and location of the particular records, including modern projectors for viewing and for the copying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audit of “detail” on microfilm may be subject to sample audit procedures, to be determined at the discretion of the director or the director’s designated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posting reference must be on each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Documents necessary to support claimed exemptions from tax liability, such as bills of lading and purchase orders, must be maintained in an order by which they readily can be related to the transaction for which exemption is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259.3(11)</w:t>
      </w:r>
      <w:r>
        <w:rPr>
          <w:rFonts w:ascii="Times New Roman" w:hAnsi="Times New Roman"/>
          <w:b w:val="false"/>
          <w:i w:val="false"/>
          <w:color w:val="000000"/>
          <w:sz w:val="22"/>
        </w:rPr>
        <w:t> </w:t>
      </w:r>
      <w:r>
        <w:rPr>
          <w:rFonts w:ascii="Times New Roman" w:hAnsi="Times New Roman"/>
          <w:b w:val="false"/>
          <w:i/>
          <w:color w:val="000000"/>
          <w:sz w:val="22"/>
        </w:rPr>
        <w:t xml:space="preserve">Automatic data processing records. </w:t>
      </w:r>
      <w:r>
        <w:rPr>
          <w:rFonts w:ascii="Times New Roman" w:hAnsi="Times New Roman"/>
          <w:b w:val="false"/>
          <w:i w:val="false"/>
          <w:color w:val="000000"/>
          <w:sz w:val="22"/>
        </w:rPr>
        <w:t>Automatic data processing (ADP) is defined in this rule as including electronic data processing (EDP) and will be referred to as ADP.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ADP tax accounting system must have built into its program a method of producing visible and legible records which will provide the necessary information for verification of the taxpayer’s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ADP records must provide an opportunity to trace any transaction back to the original source or to a final total. If detailed printouts are not made of transactions at the time they are processed, then the system must have the ability to reconstruct these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general ledger with source references will be produced as hard copy to coincide with financial reports of tax reporting periods. In cases where subsidiary ledgers are used to support the general ledger accounts, the subsidiary ledgers should also be produced periodically.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Supporting documents and audit trail. The audit trail should be designed so that the details underlying the summary accounting data may be identified and made available to the director or the director’s designated representative upon request. The system should be designed so that the supporting documents, such as sales invoices and purchase invoices, are readily available. (An audit trail is defined as the condition of having sufficient documentary evidence to trace an item from source, such as invoice or payment, to a financial statement or tax return or report; or the reverse, that is, to have an auditable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Program documentation. A description of the ADP portion of the accounting program should be available. The statements and illustrations as to the scope of operations should be sufficiently detailed to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procedure employed in each application (which, for example, might be supported by flow charts, block diagrams or other satisfactory description of the input or output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controls used to ensure accurate and reliable processing. Program and systems changes, together with their effective dates, should be noted in order to preserve an accurate chronological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Storage of ADP output will be in appropriate facilities to ensure preservation and readability of output.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259.3(12)</w:t>
      </w:r>
      <w:r>
        <w:rPr>
          <w:rFonts w:ascii="Times New Roman" w:hAnsi="Times New Roman"/>
          <w:b w:val="false"/>
          <w:i w:val="false"/>
          <w:color w:val="000000"/>
          <w:sz w:val="22"/>
        </w:rPr>
        <w:t> </w:t>
      </w:r>
      <w:r>
        <w:rPr>
          <w:rFonts w:ascii="Times New Roman" w:hAnsi="Times New Roman"/>
          <w:b w:val="false"/>
          <w:i/>
          <w:color w:val="000000"/>
          <w:sz w:val="22"/>
        </w:rPr>
        <w:t xml:space="preserve">Electronic data interchange or EDI technology. </w:t>
      </w:r>
      <w:r>
        <w:rPr>
          <w:rFonts w:ascii="Times New Roman" w:hAnsi="Times New Roman"/>
          <w:b w:val="false"/>
          <w:i w:val="false"/>
          <w:color w:val="000000"/>
          <w:sz w:val="22"/>
        </w:rPr>
        <w:t xml:space="preserve">The purpose of this subrule is to adopt the “Model Recordkeeping and Retention Regulation” report as promulgated by the Federation of Tax Administrators’ Steering Committee Task Force on EDI Audit and Legal Issues for Tax Administration (March 1996). This subrule defines the requirements imposed on taxpayers for the maintenance and retention of books, records, and other sources of information under Iowa Code sections </w:t>
      </w:r>
      <w:hyperlink r:id="rId9">
        <w:r>
          <w:rPr>
            <w:rStyle w:val="Hyperlink"/>
            <w:rFonts w:ascii="Times New Roman" w:hAnsi="Times New Roman"/>
            <w:b w:val="false"/>
            <w:i w:val="false"/>
            <w:color w:val="000000"/>
            <w:sz w:val="22"/>
          </w:rPr>
          <w:t>452A.10</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452A.12</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452A.55</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452A.60</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452A.62</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452A.69</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452A.76</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452A.80</w:t>
        </w:r>
      </w:hyperlink>
      <w:r>
        <w:rPr>
          <w:rFonts w:ascii="Times New Roman" w:hAnsi="Times New Roman"/>
          <w:b w:val="false"/>
          <w:i w:val="false"/>
          <w:color w:val="000000"/>
          <w:sz w:val="22"/>
        </w:rPr>
        <w:t xml:space="preserve">. It is also the purpose of this subrule to address these requirements where all or part of a taxpayer’s records are received, created, maintained, or generated through various computer, electronic, and imaging processes and systems. A taxpayer must maintain all records that are necessary for determination of the correct tax liability as set forth in this subrule and the other subrules within rule </w:t>
      </w:r>
      <w:hyperlink r:id="rId17">
        <w:r>
          <w:rPr>
            <w:rStyle w:val="Hyperlink"/>
            <w:rFonts w:ascii="Times New Roman" w:hAnsi="Times New Roman"/>
            <w:b w:val="false"/>
            <w:i w:val="false"/>
            <w:color w:val="000000"/>
            <w:sz w:val="22"/>
          </w:rPr>
          <w:t>701—259.3</w:t>
        </w:r>
      </w:hyperlink>
      <w:r>
        <w:rPr>
          <w:rFonts w:ascii="Times New Roman" w:hAnsi="Times New Roman"/>
          <w:b w:val="false"/>
          <w:i w:val="false"/>
          <w:color w:val="000000"/>
          <w:sz w:val="22"/>
        </w:rPr>
        <w:t xml:space="preserve">(452A). Upon request, all required records must be made available to the department or its authorized representatives as provided in Iowa Code sections </w:t>
      </w:r>
      <w:hyperlink r:id="rId18">
        <w:r>
          <w:rPr>
            <w:rStyle w:val="Hyperlink"/>
            <w:rFonts w:ascii="Times New Roman" w:hAnsi="Times New Roman"/>
            <w:b w:val="false"/>
            <w:i w:val="false"/>
            <w:color w:val="000000"/>
            <w:sz w:val="22"/>
          </w:rPr>
          <w:t>452A.10</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452A.62</w:t>
        </w:r>
      </w:hyperlink>
      <w:r>
        <w:rPr>
          <w:rFonts w:ascii="Times New Roman" w:hAnsi="Times New Roman"/>
          <w:b w:val="false"/>
          <w:i w:val="false"/>
          <w:color w:val="000000"/>
          <w:sz w:val="22"/>
        </w:rPr>
        <w:t>. If a taxpayer retains records required to be retained under this subrule in both machine-sensible and hard-copy formats, the taxpayer must make the records available to the department in machine-sensible format upon request of the department. Nothing in this subrule will be construed to prohibit a taxpayer from demonstrating tax compliance with traditional hard-copy documents or reproductions thereof, in whole or in part, whether or not the taxpayer also has retained or has the capability to retain records on electronic or other storage media in accordance with this subrule. However, as previously stated, this will not relieve a taxpayer of the obligation to comply with the requirement to make records available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“Database management system” </w:t>
      </w:r>
      <w:r>
        <w:rPr>
          <w:rFonts w:ascii="Times New Roman" w:hAnsi="Times New Roman"/>
          <w:b w:val="false"/>
          <w:i w:val="false"/>
          <w:color w:val="000000"/>
          <w:sz w:val="22"/>
        </w:rPr>
        <w:t>means a software system that controls, relates, retrieves, and provides accessibility to data stored in a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data interchange”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“EDI technology” </w:t>
      </w:r>
      <w:r>
        <w:rPr>
          <w:rFonts w:ascii="Times New Roman" w:hAnsi="Times New Roman"/>
          <w:b w:val="false"/>
          <w:i w:val="false"/>
          <w:color w:val="000000"/>
          <w:sz w:val="22"/>
        </w:rPr>
        <w:t>means the computer-to-computer exchange of business transactions in a standardized, structured electronic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“Hard copy” </w:t>
      </w:r>
      <w:r>
        <w:rPr>
          <w:rFonts w:ascii="Times New Roman" w:hAnsi="Times New Roman"/>
          <w:b w:val="false"/>
          <w:i w:val="false"/>
          <w:color w:val="000000"/>
          <w:sz w:val="22"/>
        </w:rPr>
        <w:t>means any documents, records, reports, or other data printed on paper.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“Machine-sensible record” </w:t>
      </w:r>
      <w:r>
        <w:rPr>
          <w:rFonts w:ascii="Times New Roman" w:hAnsi="Times New Roman"/>
          <w:b w:val="false"/>
          <w:i w:val="false"/>
          <w:color w:val="000000"/>
          <w:sz w:val="22"/>
        </w:rPr>
        <w:t>means a collection of related information in an electronic format. Machine-sensible records do not include hard-copy records that are created or recorded on paper or stored in or by an imaging system such as microfilm, microfiche, or storage-only imaging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“Storage-only imaging system” </w:t>
      </w:r>
      <w:r>
        <w:rPr>
          <w:rFonts w:ascii="Times New Roman" w:hAnsi="Times New Roman"/>
          <w:b w:val="false"/>
          <w:i w:val="false"/>
          <w:color w:val="000000"/>
          <w:sz w:val="22"/>
        </w:rPr>
        <w:t>means a system of computer hardware and software that provides for the storage, retention, and retrieval of documents originally created on paper. It does not include any system, or part of a system, that manipulates or processes any information or data contained on the document in any manner other than to reproduce the document in hard copy or as an optical 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“Taxpayer” </w:t>
      </w:r>
      <w:r>
        <w:rPr>
          <w:rFonts w:ascii="Times New Roman" w:hAnsi="Times New Roman"/>
          <w:b w:val="false"/>
          <w:i w:val="false"/>
          <w:color w:val="000000"/>
          <w:sz w:val="22"/>
        </w:rPr>
        <w:t>as used in this subrule means any person, business, corporation, fiduciary, or other entity that is required to file a return or report with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Record-keeping requirements — machine-sensible records. </w:t>
      </w:r>
      <w:r>
        <w:rPr>
          <w:rFonts w:ascii="Times New Roman" w:hAnsi="Times New Roman"/>
          <w:b w:val="false"/>
          <w:i w:val="false"/>
          <w:color w:val="000000"/>
          <w:sz w:val="22"/>
        </w:rPr>
        <w:t>A taxpayer that maintains and retains books, records, and other sources of information in the form of machine-sensible records must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requirements. A taxpayer must comply with the following general requirements regarding the retention of machine-sensible records: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Machine-sensible records used to establish tax compliance must contain sufficient transaction-level detail information so that the details underlying the machine-sensible records can be identified and made available to the department upon request. A taxpayer has discretion to discard duplicated records and redundant information provided its responsibilities under this regulation are met.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At the time of an examination, the retained records must be capable of being retrieved and converted to a standard record format. The term “standard record format” does not mean that every taxpayer must keep records in an identical manner. Instead, it requires that if a taxpayer utilizes a code system to identify elements of information in each record when creating and maintaining records, the taxpayer is required to maintain a record of the meaning of each code and any code changes so that the department may effectively review the taxpayer’s records.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Taxpayers are not required to construct machine-sensible records other than those created in the ordinary course of business. A taxpayer that does not create the electronic equivalent of a traditional paper document in the ordinary course of business is not required to construct a traditional paper document for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Electronic data interchange requirements. A taxpayer must comply with the following requirements for records received through electronic data interchange: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Where a taxpayer uses an electronic data interchange process and technology, the level of record detail, in combination with other records related to the transactions, must be equivalent to that contained in an acceptable paper record. For example, for motor fuel tax purposes the retained records should contain the following minimal information: bills of lading or manifests; invoices; sales and purchase records; returns, reports, and supporting schedules; records of payments; export schedules; exemption certificates; and delivery tickets. Codes may be used to identify some or all of the data elements, provided that the taxpayer provides a method which allows the department to interpret the coded information.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taxpayer may capture the information necessary to satisfy the requirements set forth in the preceding paragraph at any level within the accounting system and need not retain the original EDI transaction records provided that the audit trail, authenticity, and integrity of the retained records can be established. For example, a taxpayer using electronic data interchange technology receives electronic invoices from its suppliers. The taxpayer decides to retain the invoice data from completed and verified EDI transactions in its accounts payable system rather than to retain the EDI transactions themselves. Since neither the EDI transaction nor the accounts payable system captures information from the invoice pertaining to product description and vendor name (i.e., they contain only codes for that information), the taxpayer also retains the other records such as its vendor master file and product code description lists and makes them available to the department. In this example, the taxpayer need not retain its original EDI transaction for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Electronic data processing accounting systems requirements. The requirements for an electronic data processing accounting system should be similar to that of a manual accounting system, in that an adequately designed accounting system should incorporate methods and records that will satisfy the requirements of this rule. In addition, pursuant to Iowa Code sections </w:t>
      </w:r>
      <w:hyperlink r:id="rId20">
        <w:r>
          <w:rPr>
            <w:rStyle w:val="Hyperlink"/>
            <w:rFonts w:ascii="Times New Roman" w:hAnsi="Times New Roman"/>
            <w:b w:val="false"/>
            <w:i w:val="false"/>
            <w:color w:val="000000"/>
            <w:sz w:val="22"/>
          </w:rPr>
          <w:t>452A.10</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452A.12</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452A.55</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452A.60</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452A.62</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452A.69</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452A.76</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452A.80</w:t>
        </w:r>
      </w:hyperlink>
      <w:r>
        <w:rPr>
          <w:rFonts w:ascii="Times New Roman" w:hAnsi="Times New Roman"/>
          <w:b w:val="false"/>
          <w:i w:val="false"/>
          <w:color w:val="000000"/>
          <w:sz w:val="22"/>
        </w:rPr>
        <w:t>, the department must have access to the taxpayer’s EDI processing, accounting, or other systems for the purposes of verifying or evaluating the integrity and reliability of those systems to provide accurate and complete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Business process information. To verify the accuracy of the records being retained, the taxpayer must comply with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Upon the request of the department, the taxpayer shall provide a description of the business process that created the retained records. The description must include the relationship between the records and the tax documents prepared by the taxpayer and include the measures employed to ensure the integrity of the records.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taxpayer must be capable of demonstrating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functions being performed as they relate to the flow of data through the system;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internal controls used to ensure accurate and reliable processing;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internal controls used to prevent unauthorized addition to, alteration of, or deletion of retained records.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following specific documentation is required for machine-sensible records retained pursuant to this rule: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Record formats or layouts;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Field definitions (including a record of any changes in the system or codes and the meaning of all codes used to represent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File descriptions (e.g., data set name);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Detailed charts of accounts and account descriptions.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Record maintenance requirements. </w:t>
      </w:r>
      <w:r>
        <w:rPr>
          <w:rFonts w:ascii="Times New Roman" w:hAnsi="Times New Roman"/>
          <w:b w:val="false"/>
          <w:i w:val="false"/>
          <w:color w:val="000000"/>
          <w:sz w:val="22"/>
        </w:rPr>
        <w:t>The department recommends, but does not require, that taxpayers refer to the National Archives and Record Administration’s (NARA) standards for guidance on the maintenance and storage of electronic records such as the labeling of records, the location and security of the storage environment, the creation of backup copies, and the use of periodic testing to confirm the continued integrity of the records. (The NARA standards may be found at 36 Code of Federal Regulations, Part 1234, July 1, 1995, Edition.) The taxpayer’s computer hardware and software must accommodate the extraction and conversion of retained machine-sensible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Access to machine-sensible records. </w:t>
      </w:r>
      <w:r>
        <w:rPr>
          <w:rFonts w:ascii="Times New Roman" w:hAnsi="Times New Roman"/>
          <w:b w:val="false"/>
          <w:i w:val="false"/>
          <w:color w:val="000000"/>
          <w:sz w:val="22"/>
        </w:rPr>
        <w:t>If a taxpayer retains records required to be retained under this regulation in both machine-sensible and hard-copy formats, the taxpayer must make the records available to the department in machine-sensible format upon the request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manner in which the department is provided access to machine-sensible records may be satisfied through a variety of means that must take into account a taxpayer’s facts and circumstances through consultation with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Access shall be provided in one or more of the following manners: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taxpayer may arrange to provide the department with the hardware, software, and personnel resources to access the machine-sensible records.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taxpayer may arrange for a third party to provide the hardware, software, and personnel resources necessary to access the machine-sensible records.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taxpayer may convert the machine-sensible records to a standard record format specified by the department, including copies of files, on magnetic medium that is agreed to by the department.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taxpayer and the department may agree on other means of providing access to the machine-sensible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Taxpayer’s responsibility and discretionary authority. </w:t>
      </w:r>
      <w:r>
        <w:rPr>
          <w:rFonts w:ascii="Times New Roman" w:hAnsi="Times New Roman"/>
          <w:b w:val="false"/>
          <w:i w:val="false"/>
          <w:color w:val="000000"/>
          <w:sz w:val="22"/>
        </w:rPr>
        <w:t xml:space="preserve">In conjunction with meeting the requirements of paragraph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a taxpayer may create files solely for the use of the department. For example, if a database management system is used, it is consistent with this subrule for the taxpayer to create and retain a file that contains the transaction-level detail from the database management system and that meets the requirements of paragraph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The taxpayer shall document the process that created the separate file to show the relationship between that file and the original records. A taxpayer may contract with a third party to provide custodial or management services of the records. Such a contract will not relieve the taxpayer of its responsibilities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Alternative storage media. </w:t>
      </w:r>
      <w:r>
        <w:rPr>
          <w:rFonts w:ascii="Times New Roman" w:hAnsi="Times New Roman"/>
          <w:b w:val="false"/>
          <w:i w:val="false"/>
          <w:color w:val="000000"/>
          <w:sz w:val="22"/>
        </w:rPr>
        <w:t xml:space="preserve">For purposes of storage and retention, taxpayers may convert hard-copy documents received or produced in the normal course of business and required to be retained under this rule to microfilm, microfiche, or other storage-only imaging systems and may discard the original hard-copy documents provided that the rules governing alternative storage media are met. For details regarding alternative storage, see subrule </w:t>
      </w:r>
      <w:hyperlink r:id="rId28">
        <w:r>
          <w:rPr>
            <w:rStyle w:val="Hyperlink"/>
            <w:rFonts w:ascii="Times New Roman" w:hAnsi="Times New Roman"/>
            <w:b w:val="false"/>
            <w:i w:val="false"/>
            <w:color w:val="000000"/>
            <w:sz w:val="22"/>
          </w:rPr>
          <w:t>259.3(10)</w:t>
        </w:r>
      </w:hyperlink>
      <w:r>
        <w:rPr>
          <w:rFonts w:ascii="Times New Roman" w:hAnsi="Times New Roman"/>
          <w:b w:val="false"/>
          <w:i w:val="false"/>
          <w:color w:val="000000"/>
          <w:sz w:val="22"/>
        </w:rPr>
        <w:t>, “Microfilm and related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Effect on hard-copy record-keeping requirements. </w:t>
      </w:r>
      <w:r>
        <w:rPr>
          <w:rFonts w:ascii="Times New Roman" w:hAnsi="Times New Roman"/>
          <w:b w:val="false"/>
          <w:i w:val="false"/>
          <w:color w:val="000000"/>
          <w:sz w:val="22"/>
        </w:rPr>
        <w:t xml:space="preserve">Except as otherwise provided, the provisions of this subrule do not relieve taxpayers of the responsibility to retain hard-copy records that are created or received in the ordinary course of business as required by existing law and rules. Hard-copy records may be retained on alternative storage media as indicated in paragraph </w:t>
      </w:r>
      <w:r>
        <w:rPr>
          <w:rFonts w:ascii="Times New Roman" w:hAnsi="Times New Roman"/>
          <w:b w:val="false"/>
          <w:i/>
          <w:color w:val="000000"/>
          <w:sz w:val="22"/>
        </w:rPr>
        <w:t>“f”</w:t>
      </w:r>
      <w:r>
        <w:rPr>
          <w:rFonts w:ascii="Times New Roman" w:hAnsi="Times New Roman"/>
          <w:b w:val="false"/>
          <w:i w:val="false"/>
          <w:color w:val="000000"/>
          <w:sz w:val="22"/>
        </w:rPr>
        <w:t xml:space="preserve"> above and subrule </w:t>
      </w:r>
      <w:hyperlink r:id="rId29">
        <w:r>
          <w:rPr>
            <w:rStyle w:val="Hyperlink"/>
            <w:rFonts w:ascii="Times New Roman" w:hAnsi="Times New Roman"/>
            <w:b w:val="false"/>
            <w:i w:val="false"/>
            <w:color w:val="000000"/>
            <w:sz w:val="22"/>
          </w:rPr>
          <w:t>259.3(10)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If hard-copy records are not produced or received in the ordinary course of transacting business (e.g., when the taxpayer uses electronic data interchange technology), hard-copy records need not be created.</w:t>
      </w:r>
    </w:p>
    <w:p>
      <w:pPr>
        <w:spacing w:before="0" w:after="0"/>
        <w:ind w:left="120"/>
        <w:jc w:val="both"/>
      </w:pPr>
      <w:r>
        <w:rPr>
          <w:rFonts w:ascii="Times New Roman" w:hAnsi="Times New Roman"/>
          <w:b w:val="false"/>
          <w:i w:val="false"/>
          <w:color w:val="000000"/>
          <w:sz w:val="22"/>
        </w:rPr>
        <w:t>Hard-copy records generated at the time of the transaction with the use of a credit or debit card must be retained unless all the details necessary to determine correct tax liability relating to the transaction are subsequently received and retained by the taxpayer in accordance with this rule.</w:t>
      </w:r>
    </w:p>
    <w:p>
      <w:pPr>
        <w:spacing w:before="0" w:after="0"/>
        <w:ind w:left="120"/>
        <w:jc w:val="both"/>
      </w:pPr>
      <w:r>
        <w:rPr>
          <w:rFonts w:ascii="Times New Roman" w:hAnsi="Times New Roman"/>
          <w:b w:val="false"/>
          <w:i w:val="false"/>
          <w:color w:val="000000"/>
          <w:sz w:val="22"/>
        </w:rPr>
        <w:t>Computer printouts that are created for validation, control, or other temporary purposes need not be retained.</w:t>
      </w:r>
    </w:p>
    <w:p>
      <w:pPr>
        <w:spacing w:before="0" w:after="0"/>
        <w:ind w:left="120"/>
        <w:jc w:val="both"/>
      </w:pPr>
      <w:r>
        <w:rPr>
          <w:rFonts w:ascii="Times New Roman" w:hAnsi="Times New Roman"/>
          <w:b w:val="false"/>
          <w:i w:val="false"/>
          <w:color w:val="000000"/>
          <w:sz w:val="22"/>
        </w:rPr>
        <w:t>Nothing in this rule shall prevent the department from requesting hard-copy printouts in lieu of retained machine-sensible records at the time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259.3(13)</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r>
        <w:rPr>
          <w:rFonts w:ascii="Times New Roman" w:hAnsi="Times New Roman"/>
          <w:b w:val="false"/>
          <w:i w:val="false"/>
          <w:color w:val="000000"/>
          <w:sz w:val="22"/>
        </w:rPr>
        <w:t>If a tax liability has been assessed and an appeal is pending to the department, district court or an appellate court, books, papers, records, memoranda, or documents specified in this rule that relate to the period covered by the assessment must be preserved until the final disposition of the appeal.</w:t>
      </w:r>
    </w:p>
    <w:p>
      <w:pPr>
        <w:spacing w:before="0" w:after="0"/>
        <w:ind w:left="120"/>
        <w:jc w:val="both"/>
      </w:pPr>
      <w:r>
        <w:rPr>
          <w:rFonts w:ascii="Times New Roman" w:hAnsi="Times New Roman"/>
          <w:b w:val="false"/>
          <w:i w:val="false"/>
          <w:color w:val="000000"/>
          <w:sz w:val="22"/>
        </w:rPr>
        <w:t xml:space="preserve">If the requirements of this rule are not met, the records will be considered inadequate and rule </w:t>
      </w:r>
      <w:hyperlink r:id="rId30">
        <w:r>
          <w:rPr>
            <w:rStyle w:val="Hyperlink"/>
            <w:rFonts w:ascii="Times New Roman" w:hAnsi="Times New Roman"/>
            <w:b w:val="false"/>
            <w:i w:val="false"/>
            <w:color w:val="000000"/>
            <w:sz w:val="22"/>
          </w:rPr>
          <w:t>701—259.5</w:t>
        </w:r>
      </w:hyperlink>
      <w:r>
        <w:rPr>
          <w:rFonts w:ascii="Times New Roman" w:hAnsi="Times New Roman"/>
          <w:b w:val="false"/>
          <w:i w:val="false"/>
          <w:color w:val="000000"/>
          <w:sz w:val="22"/>
        </w:rPr>
        <w:t>(452A), estimate gallonage, applies.</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31">
        <w:r>
          <w:rPr>
            <w:rStyle w:val="Hyperlink"/>
            <w:rFonts w:ascii="Times New Roman" w:hAnsi="Times New Roman"/>
            <w:b w:val="false"/>
            <w:i w:val="false"/>
            <w:color w:val="000000"/>
            <w:sz w:val="22"/>
          </w:rPr>
          <w:t>452A.6</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452A.15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2002 Iowa Acts, House File 2622</w:t>
      </w:r>
      <w:r>
        <w:rPr>
          <w:rFonts w:ascii="Times New Roman" w:hAnsi="Times New Roman"/>
          <w:b w:val="false"/>
          <w:i w:val="false"/>
          <w:color w:val="000000"/>
          <w:sz w:val="22"/>
        </w:rPr>
        <w:t xml:space="preserve">, and sections </w:t>
      </w:r>
      <w:hyperlink r:id="rId33">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452A.9</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452A.10</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452A.60</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452A.62</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452A.69</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1805C</w:t>
      </w:r>
      <w:r>
        <w:rPr>
          <w:rFonts w:ascii="Times New Roman" w:hAnsi="Times New Roman"/>
          <w:b w:val="false"/>
          <w:i w:val="false"/>
          <w:color w:val="000000"/>
          <w:sz w:val="16"/>
        </w:rPr>
        <w:t>, IAB 1/7/15, effective 2/11/15</w:t>
      </w:r>
      <w:r>
        <w:rPr>
          <w:rFonts w:ascii="Times New Roman" w:hAnsi="Times New Roman"/>
          <w:b w:val="false"/>
          <w:i w:val="false"/>
          <w:color w:val="000000"/>
          <w:sz w:val="16"/>
        </w:rPr>
        <w:t xml:space="preserve">; </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11.4.pdf" Type="http://schemas.openxmlformats.org/officeDocument/2006/relationships/hyperlink" Id="rId4"/>
    <Relationship TargetMode="External" Target="https://www.legis.iowa.gov/docs/ico/chapter/452A.8.pdf" Type="http://schemas.openxmlformats.org/officeDocument/2006/relationships/hyperlink" Id="rId5"/>
    <Relationship TargetMode="External" Target="https://www.legis.iowa.gov/docs/ico/chapter/452A.8.pdf" Type="http://schemas.openxmlformats.org/officeDocument/2006/relationships/hyperlink" Id="rId6"/>
    <Relationship TargetMode="External" Target="https://www.legis.iowa.gov/docs/ico/chapter/452A.8.pdf" Type="http://schemas.openxmlformats.org/officeDocument/2006/relationships/hyperlink" Id="rId7"/>
    <Relationship TargetMode="External" Target="https://www.legis.iowa.gov/docs/ico/chapter/452A.15.pdf" Type="http://schemas.openxmlformats.org/officeDocument/2006/relationships/hyperlink" Id="rId8"/>
    <Relationship TargetMode="External" Target="https://www.legis.iowa.gov/docs/ico/chapter/452A.10.pdf" Type="http://schemas.openxmlformats.org/officeDocument/2006/relationships/hyperlink" Id="rId9"/>
    <Relationship TargetMode="External" Target="https://www.legis.iowa.gov/docs/ico/chapter/452A.12.pdf" Type="http://schemas.openxmlformats.org/officeDocument/2006/relationships/hyperlink" Id="rId10"/>
    <Relationship TargetMode="External" Target="https://www.legis.iowa.gov/docs/ico/chapter/452A.55.pdf" Type="http://schemas.openxmlformats.org/officeDocument/2006/relationships/hyperlink" Id="rId11"/>
    <Relationship TargetMode="External" Target="https://www.legis.iowa.gov/docs/ico/chapter/452A.60.pdf" Type="http://schemas.openxmlformats.org/officeDocument/2006/relationships/hyperlink" Id="rId12"/>
    <Relationship TargetMode="External" Target="https://www.legis.iowa.gov/docs/ico/chapter/452A.62.pdf" Type="http://schemas.openxmlformats.org/officeDocument/2006/relationships/hyperlink" Id="rId13"/>
    <Relationship TargetMode="External" Target="https://www.legis.iowa.gov/docs/ico/chapter/452A.69.pdf" Type="http://schemas.openxmlformats.org/officeDocument/2006/relationships/hyperlink" Id="rId14"/>
    <Relationship TargetMode="External" Target="https://www.legis.iowa.gov/docs/ico/chapter/452A.76.pdf" Type="http://schemas.openxmlformats.org/officeDocument/2006/relationships/hyperlink" Id="rId15"/>
    <Relationship TargetMode="External" Target="https://www.legis.iowa.gov/docs/ico/chapter/452A.80.pdf" Type="http://schemas.openxmlformats.org/officeDocument/2006/relationships/hyperlink" Id="rId16"/>
    <Relationship TargetMode="External" Target="https://www.legis.iowa.gov/docs/iac/rule/701.259.3.pdf" Type="http://schemas.openxmlformats.org/officeDocument/2006/relationships/hyperlink" Id="rId17"/>
    <Relationship TargetMode="External" Target="https://www.legis.iowa.gov/docs/ico/chapter/452A.10.pdf" Type="http://schemas.openxmlformats.org/officeDocument/2006/relationships/hyperlink" Id="rId18"/>
    <Relationship TargetMode="External" Target="https://www.legis.iowa.gov/docs/ico/chapter/452A.62.pdf" Type="http://schemas.openxmlformats.org/officeDocument/2006/relationships/hyperlink" Id="rId19"/>
    <Relationship TargetMode="External" Target="https://www.legis.iowa.gov/docs/ico/chapter/452A.10.pdf" Type="http://schemas.openxmlformats.org/officeDocument/2006/relationships/hyperlink" Id="rId20"/>
    <Relationship TargetMode="External" Target="https://www.legis.iowa.gov/docs/ico/chapter/452A.12.pdf" Type="http://schemas.openxmlformats.org/officeDocument/2006/relationships/hyperlink" Id="rId21"/>
    <Relationship TargetMode="External" Target="https://www.legis.iowa.gov/docs/ico/chapter/452A.55.pdf" Type="http://schemas.openxmlformats.org/officeDocument/2006/relationships/hyperlink" Id="rId22"/>
    <Relationship TargetMode="External" Target="https://www.legis.iowa.gov/docs/ico/chapter/452A.60.pdf" Type="http://schemas.openxmlformats.org/officeDocument/2006/relationships/hyperlink" Id="rId23"/>
    <Relationship TargetMode="External" Target="https://www.legis.iowa.gov/docs/ico/chapter/452A.62.pdf" Type="http://schemas.openxmlformats.org/officeDocument/2006/relationships/hyperlink" Id="rId24"/>
    <Relationship TargetMode="External" Target="https://www.legis.iowa.gov/docs/ico/chapter/452A.69.pdf" Type="http://schemas.openxmlformats.org/officeDocument/2006/relationships/hyperlink" Id="rId25"/>
    <Relationship TargetMode="External" Target="https://www.legis.iowa.gov/docs/ico/chapter/452A.76.pdf" Type="http://schemas.openxmlformats.org/officeDocument/2006/relationships/hyperlink" Id="rId26"/>
    <Relationship TargetMode="External" Target="https://www.legis.iowa.gov/docs/ico/chapter/452A.80.pdf" Type="http://schemas.openxmlformats.org/officeDocument/2006/relationships/hyperlink" Id="rId27"/>
    <Relationship TargetMode="External" Target="https://www.legis.iowa.gov/docs/iac/rule/701.259.3.pdf" Type="http://schemas.openxmlformats.org/officeDocument/2006/relationships/hyperlink" Id="rId28"/>
    <Relationship TargetMode="External" Target="https://www.legis.iowa.gov/docs/iac/rule/701.259.3.pdf" Type="http://schemas.openxmlformats.org/officeDocument/2006/relationships/hyperlink" Id="rId29"/>
    <Relationship TargetMode="External" Target="https://www.legis.iowa.gov/docs/iac/rule/701.259.5.pdf" Type="http://schemas.openxmlformats.org/officeDocument/2006/relationships/hyperlink" Id="rId30"/>
    <Relationship TargetMode="External" Target="https://www.legis.iowa.gov/docs/ico/chapter/452A.6.pdf" Type="http://schemas.openxmlformats.org/officeDocument/2006/relationships/hyperlink" Id="rId31"/>
    <Relationship TargetMode="External" Target="https://www.legis.iowa.gov/docs/ico/chapter/452A.15.pdf" Type="http://schemas.openxmlformats.org/officeDocument/2006/relationships/hyperlink" Id="rId32"/>
    <Relationship TargetMode="External" Target="https://www.legis.iowa.gov/docs/ico/chapter/452A.8.pdf" Type="http://schemas.openxmlformats.org/officeDocument/2006/relationships/hyperlink" Id="rId33"/>
    <Relationship TargetMode="External" Target="https://www.legis.iowa.gov/docs/ico/chapter/452A.9.pdf" Type="http://schemas.openxmlformats.org/officeDocument/2006/relationships/hyperlink" Id="rId34"/>
    <Relationship TargetMode="External" Target="https://www.legis.iowa.gov/docs/ico/chapter/452A.10.pdf" Type="http://schemas.openxmlformats.org/officeDocument/2006/relationships/hyperlink" Id="rId35"/>
    <Relationship TargetMode="External" Target="https://www.legis.iowa.gov/docs/ico/chapter/452A.17.pdf" Type="http://schemas.openxmlformats.org/officeDocument/2006/relationships/hyperlink" Id="rId36"/>
    <Relationship TargetMode="External" Target="https://www.legis.iowa.gov/docs/ico/chapter/452A.59.pdf" Type="http://schemas.openxmlformats.org/officeDocument/2006/relationships/hyperlink" Id="rId37"/>
    <Relationship TargetMode="External" Target="https://www.legis.iowa.gov/docs/ico/chapter/452A.60.pdf" Type="http://schemas.openxmlformats.org/officeDocument/2006/relationships/hyperlink" Id="rId38"/>
    <Relationship TargetMode="External" Target="https://www.legis.iowa.gov/docs/ico/chapter/452A.62.pdf" Type="http://schemas.openxmlformats.org/officeDocument/2006/relationships/hyperlink" Id="rId39"/>
    <Relationship TargetMode="External" Target="https://www.legis.iowa.gov/docs/ico/chapter/452A.69.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