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701—259.27</w:t>
      </w:r>
      <w:r>
        <w:rPr>
          <w:rFonts w:ascii="Times New Roman" w:hAnsi="Times New Roman"/>
          <w:b/>
          <w:i w:val="false"/>
          <w:color w:val="000000"/>
          <w:sz w:val="22"/>
        </w:rPr>
        <w:t xml:space="preserve">(452A) </w:t>
      </w:r>
      <w:r>
        <w:rPr>
          <w:rFonts w:ascii="Times New Roman" w:hAnsi="Times New Roman"/>
          <w:b/>
          <w:i w:val="false"/>
          <w:color w:val="000000"/>
          <w:sz w:val="22"/>
        </w:rPr>
        <w:t xml:space="preserve">Retailer gallons report. </w:t>
      </w:r>
      <w:r>
        <w:rPr>
          <w:rFonts w:ascii="Times New Roman" w:hAnsi="Times New Roman"/>
          <w:b w:val="false"/>
          <w:i w:val="false"/>
          <w:color w:val="000000"/>
          <w:sz w:val="22"/>
        </w:rPr>
        <w:t>The department is required to compile information reported to it by retail dealers regarding the number of gallons of the various fuel classifications sold by retail dealers in the previous calendar year and submit a report to the governor and the legislative services agency by April 1 of each year. Each retail dealer is required to file a report with the department detailing the number of motor fuel gallons sold during the previous calendar year on both a companywide basis and a site-by-site basis as required by the department. The retail dealer report is due by January 31 following the close of the calendar year.</w:t>
      </w:r>
    </w:p>
    <w:p>
      <w:pPr>
        <w:spacing w:before="0" w:after="0"/>
        <w:ind w:left="120"/>
        <w:jc w:val="left"/>
      </w:pPr>
      <w:r>
        <w:rPr>
          <w:rFonts w:ascii="Times New Roman" w:hAnsi="Times New Roman"/>
          <w:b w:val="false"/>
          <w:i w:val="false"/>
          <w:color w:val="000000"/>
          <w:sz w:val="22"/>
        </w:rPr>
        <w:t>The report filed by the department will include information in the aggregate relating to total sales of gasoline, ethanol blended gasoline, diesel fuel and biofuels. The report will also include appropriate percentage sales of various fuel products. The report will not include individual retail dealer information, trade secret information or confidential information.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452A.33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531</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3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