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701—259.26</w:t>
      </w:r>
      <w:r>
        <w:rPr>
          <w:rFonts w:ascii="Times New Roman" w:hAnsi="Times New Roman"/>
          <w:b/>
          <w:i w:val="false"/>
          <w:color w:val="000000"/>
          <w:sz w:val="22"/>
        </w:rPr>
        <w:t xml:space="preserve">(452A) </w:t>
      </w:r>
      <w:r>
        <w:rPr>
          <w:rFonts w:ascii="Times New Roman" w:hAnsi="Times New Roman"/>
          <w:b/>
          <w:i w:val="false"/>
          <w:color w:val="000000"/>
          <w:sz w:val="22"/>
        </w:rPr>
        <w:t xml:space="preserve">Excess tax collected. </w:t>
      </w:r>
      <w:r>
        <w:rPr>
          <w:rFonts w:ascii="Times New Roman" w:hAnsi="Times New Roman"/>
          <w:b w:val="false"/>
          <w:i w:val="false"/>
          <w:color w:val="000000"/>
          <w:sz w:val="22"/>
        </w:rPr>
        <w:t>If a licensee collects tax on exempt fuel or collects more tax than is due, the licensee must return the excess tax paid to the purchaser if the tax has not been paid to the department. If the tax has been paid to the department, the department will return the excess tax paid to the consumer upon appropriate documentation.</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 section 66.</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