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701—259.24</w:t>
      </w:r>
      <w:r>
        <w:rPr>
          <w:rFonts w:ascii="Times New Roman" w:hAnsi="Times New Roman"/>
          <w:b/>
          <w:i w:val="false"/>
          <w:color w:val="000000"/>
          <w:sz w:val="22"/>
        </w:rPr>
        <w:t xml:space="preserve">(452A) </w:t>
      </w:r>
      <w:r>
        <w:rPr>
          <w:rFonts w:ascii="Times New Roman" w:hAnsi="Times New Roman"/>
          <w:b/>
          <w:i w:val="false"/>
          <w:color w:val="000000"/>
          <w:sz w:val="22"/>
        </w:rPr>
        <w:t xml:space="preserve">Reinstatement of license canceled for cause. </w:t>
      </w:r>
      <w:r>
        <w:rPr>
          <w:rFonts w:ascii="Times New Roman" w:hAnsi="Times New Roman"/>
          <w:b w:val="false"/>
          <w:i w:val="false"/>
          <w:color w:val="000000"/>
          <w:sz w:val="22"/>
        </w:rPr>
        <w:t>A license canceled for cause will be reinstated only on such terms and conditions as the cause may warrant. Terms and conditions will include payments of any applicable fuel tax liability including interest and penalty which is due the department.</w:t>
      </w:r>
    </w:p>
    <w:p>
      <w:pPr>
        <w:spacing w:before="0" w:after="0"/>
        <w:ind w:left="120"/>
        <w:jc w:val="left"/>
      </w:pPr>
      <w:r>
        <w:rPr>
          <w:rFonts w:ascii="Times New Roman" w:hAnsi="Times New Roman"/>
          <w:b w:val="false"/>
          <w:i w:val="false"/>
          <w:color w:val="000000"/>
          <w:sz w:val="22"/>
        </w:rPr>
        <w:t xml:space="preserve">Pursuant to the director’s statutory authority in Iowa Code section </w:t>
      </w:r>
      <w:hyperlink r:id="rId4">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to restore licenses after being canceled for cause, the director has determined that upon the cancellation of a motor vehicle fuel tax license the initial time, the licensee will be required to pay all delinquent fuel tax liabilities including interest and penalty, to file returns, and to post a bond and have refrained from activities requiring a license under sections </w:t>
      </w:r>
      <w:hyperlink r:id="rId5">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452A.6</w:t>
        </w:r>
      </w:hyperlink>
      <w:r>
        <w:rPr>
          <w:rFonts w:ascii="Times New Roman" w:hAnsi="Times New Roman"/>
          <w:b w:val="false"/>
          <w:i w:val="false"/>
          <w:color w:val="000000"/>
          <w:sz w:val="22"/>
        </w:rPr>
        <w:t xml:space="preserve"> during the waiting period as required by the director prior to the reinstatement or issuance of a new motor vehicle fuel tax license.</w:t>
      </w:r>
    </w:p>
    <w:p>
      <w:pPr>
        <w:spacing w:before="0" w:after="0"/>
        <w:ind w:left="120"/>
        <w:jc w:val="left"/>
      </w:pPr>
      <w:r>
        <w:rPr>
          <w:rFonts w:ascii="Times New Roman" w:hAnsi="Times New Roman"/>
          <w:b w:val="false"/>
          <w:i w:val="false"/>
          <w:color w:val="000000"/>
          <w:sz w:val="22"/>
        </w:rPr>
        <w:t xml:space="preserve">As set forth above, the director may impose a waiting period during which the licensee must refrain from activities requiring a license pursuant to the penalties provided in Iowa Code section </w:t>
      </w:r>
      <w:hyperlink r:id="rId7">
        <w:r>
          <w:rPr>
            <w:rStyle w:val="Hyperlink"/>
            <w:rFonts w:ascii="Times New Roman" w:hAnsi="Times New Roman"/>
            <w:b w:val="false"/>
            <w:i w:val="false"/>
            <w:color w:val="000000"/>
            <w:sz w:val="22"/>
          </w:rPr>
          <w:t>452A.74</w:t>
        </w:r>
      </w:hyperlink>
      <w:r>
        <w:rPr>
          <w:rFonts w:ascii="Times New Roman" w:hAnsi="Times New Roman"/>
          <w:b w:val="false"/>
          <w:i w:val="false"/>
          <w:color w:val="000000"/>
          <w:sz w:val="22"/>
        </w:rPr>
        <w:t xml:space="preserve"> for a period not to exceed 90 days as a condition for the restoration of a license or the issuance of a new license after cancellation for cause. The department may require a statement that the licensee has fulfilled all requirements of said order canceling the license for cause and the dates on which the license holder refrained from restricted activities.</w:t>
      </w:r>
    </w:p>
    <w:p>
      <w:pPr>
        <w:spacing w:before="0" w:after="0"/>
        <w:ind w:left="120"/>
        <w:jc w:val="left"/>
      </w:pPr>
      <w:r>
        <w:rPr>
          <w:rFonts w:ascii="Times New Roman" w:hAnsi="Times New Roman"/>
          <w:b w:val="false"/>
          <w:i w:val="false"/>
          <w:color w:val="000000"/>
          <w:sz w:val="22"/>
        </w:rPr>
        <w:t>Each of the following situations will be considered one offense for the purpose of determining the waiting period to reinstate a license canceled for cause or issuing a new license after being canceled for cause unless otherwise noted.</w:t>
      </w:r>
    </w:p>
    <w:p>
      <w:pPr>
        <w:spacing w:before="0" w:after="0"/>
        <w:ind w:left="120"/>
        <w:jc w:val="left"/>
      </w:pPr>
      <w:r>
        <w:rPr>
          <w:rFonts w:ascii="Times New Roman" w:hAnsi="Times New Roman"/>
          <w:b w:val="false"/>
          <w:i w:val="false"/>
          <w:color w:val="000000"/>
          <w:sz w:val="22"/>
        </w:rPr>
        <w:t>Failure to post a bond as required.</w:t>
      </w:r>
    </w:p>
    <w:p>
      <w:pPr>
        <w:spacing w:before="0" w:after="0"/>
        <w:ind w:left="120"/>
        <w:jc w:val="left"/>
      </w:pPr>
      <w:r>
        <w:rPr>
          <w:rFonts w:ascii="Times New Roman" w:hAnsi="Times New Roman"/>
          <w:b w:val="false"/>
          <w:i w:val="false"/>
          <w:color w:val="000000"/>
          <w:sz w:val="22"/>
        </w:rPr>
        <w:t>Failure to file a report or return timely.</w:t>
      </w:r>
    </w:p>
    <w:p>
      <w:pPr>
        <w:spacing w:before="0" w:after="0"/>
        <w:ind w:left="120"/>
        <w:jc w:val="left"/>
      </w:pPr>
      <w:r>
        <w:rPr>
          <w:rFonts w:ascii="Times New Roman" w:hAnsi="Times New Roman"/>
          <w:b w:val="false"/>
          <w:i w:val="false"/>
          <w:color w:val="000000"/>
          <w:sz w:val="22"/>
        </w:rPr>
        <w:t>Failure to pay tax timely (including unhonored payments, failure to pay and late payments).</w:t>
      </w:r>
    </w:p>
    <w:p>
      <w:pPr>
        <w:spacing w:before="0" w:after="0"/>
        <w:ind w:left="120"/>
        <w:jc w:val="left"/>
      </w:pPr>
      <w:r>
        <w:rPr>
          <w:rFonts w:ascii="Times New Roman" w:hAnsi="Times New Roman"/>
          <w:b w:val="false"/>
          <w:i w:val="false"/>
          <w:color w:val="000000"/>
          <w:sz w:val="22"/>
        </w:rPr>
        <w:t>Failure to file a return and pay tax as shown on the return (counts as one offense).</w:t>
      </w:r>
    </w:p>
    <w:p>
      <w:pPr>
        <w:spacing w:before="0" w:after="0"/>
        <w:ind w:left="120"/>
        <w:jc w:val="left"/>
      </w:pPr>
      <w:r>
        <w:rPr>
          <w:rFonts w:ascii="Times New Roman" w:hAnsi="Times New Roman"/>
          <w:b w:val="false"/>
          <w:i w:val="false"/>
          <w:color w:val="000000"/>
          <w:sz w:val="22"/>
        </w:rPr>
        <w:t>The hearing officer or director of revenue may order a waiting period after the cancellation for cause not to exceed:</w:t>
      </w:r>
    </w:p>
    <w:p>
      <w:pPr>
        <w:spacing w:before="0" w:after="0"/>
        <w:ind w:left="120"/>
        <w:jc w:val="left"/>
      </w:pPr>
      <w:r>
        <w:rPr>
          <w:rFonts w:ascii="Times New Roman" w:hAnsi="Times New Roman"/>
          <w:b w:val="false"/>
          <w:i w:val="false"/>
          <w:color w:val="000000"/>
          <w:sz w:val="22"/>
        </w:rPr>
        <w:t>Five days for one through five offenses.</w:t>
      </w:r>
    </w:p>
    <w:p>
      <w:pPr>
        <w:spacing w:before="0" w:after="0"/>
        <w:ind w:left="120"/>
        <w:jc w:val="left"/>
      </w:pPr>
      <w:r>
        <w:rPr>
          <w:rFonts w:ascii="Times New Roman" w:hAnsi="Times New Roman"/>
          <w:b w:val="false"/>
          <w:i w:val="false"/>
          <w:color w:val="000000"/>
          <w:sz w:val="22"/>
        </w:rPr>
        <w:t>Seven days for six or seven offenses.</w:t>
      </w:r>
    </w:p>
    <w:p>
      <w:pPr>
        <w:spacing w:before="0" w:after="0"/>
        <w:ind w:left="120"/>
        <w:jc w:val="left"/>
      </w:pPr>
      <w:r>
        <w:rPr>
          <w:rFonts w:ascii="Times New Roman" w:hAnsi="Times New Roman"/>
          <w:b w:val="false"/>
          <w:i w:val="false"/>
          <w:color w:val="000000"/>
          <w:sz w:val="22"/>
        </w:rPr>
        <w:t>Ten days for eight or nine offenses.</w:t>
      </w:r>
    </w:p>
    <w:p>
      <w:pPr>
        <w:spacing w:before="0" w:after="0"/>
        <w:ind w:left="120"/>
        <w:jc w:val="left"/>
      </w:pPr>
      <w:r>
        <w:rPr>
          <w:rFonts w:ascii="Times New Roman" w:hAnsi="Times New Roman"/>
          <w:b w:val="false"/>
          <w:i w:val="false"/>
          <w:color w:val="000000"/>
          <w:sz w:val="22"/>
        </w:rPr>
        <w:t>Thirty days for ten offenses or more.</w:t>
      </w:r>
    </w:p>
    <w:p>
      <w:pPr>
        <w:spacing w:before="0" w:after="0"/>
        <w:ind w:left="120"/>
        <w:jc w:val="left"/>
      </w:pPr>
      <w:r>
        <w:rPr>
          <w:rFonts w:ascii="Times New Roman" w:hAnsi="Times New Roman"/>
          <w:b w:val="false"/>
          <w:i w:val="false"/>
          <w:color w:val="000000"/>
          <w:sz w:val="22"/>
        </w:rPr>
        <w:t>The hearing officer or director of revenue may order a waiting period not to exceed:</w:t>
      </w:r>
    </w:p>
    <w:p>
      <w:pPr>
        <w:spacing w:before="0" w:after="0"/>
        <w:ind w:left="120"/>
        <w:jc w:val="left"/>
      </w:pPr>
      <w:r>
        <w:rPr>
          <w:rFonts w:ascii="Times New Roman" w:hAnsi="Times New Roman"/>
          <w:b w:val="false"/>
          <w:i w:val="false"/>
          <w:color w:val="000000"/>
          <w:sz w:val="22"/>
        </w:rPr>
        <w:t>Forty-five days if the second cancellation for cause occurs within 24 months of the first cancellation for cause.</w:t>
      </w:r>
    </w:p>
    <w:p>
      <w:pPr>
        <w:spacing w:before="0" w:after="0"/>
        <w:ind w:left="120"/>
        <w:jc w:val="left"/>
      </w:pPr>
      <w:r>
        <w:rPr>
          <w:rFonts w:ascii="Times New Roman" w:hAnsi="Times New Roman"/>
          <w:b w:val="false"/>
          <w:i w:val="false"/>
          <w:color w:val="000000"/>
          <w:sz w:val="22"/>
        </w:rPr>
        <w:t>Sixty days if the second cancellation for cause occurs within 18 months of the first cancellation for cause.</w:t>
      </w:r>
    </w:p>
    <w:p>
      <w:pPr>
        <w:spacing w:before="0" w:after="0"/>
        <w:ind w:left="120"/>
        <w:jc w:val="left"/>
      </w:pPr>
      <w:r>
        <w:rPr>
          <w:rFonts w:ascii="Times New Roman" w:hAnsi="Times New Roman"/>
          <w:b w:val="false"/>
          <w:i w:val="false"/>
          <w:color w:val="000000"/>
          <w:sz w:val="22"/>
        </w:rPr>
        <w:t>Ninety days if the second cancellation for cause occurs within 12 months of the first cancellation for cause.</w:t>
      </w:r>
    </w:p>
    <w:p>
      <w:pPr>
        <w:spacing w:before="0" w:after="0"/>
        <w:ind w:left="120"/>
        <w:jc w:val="left"/>
      </w:pPr>
      <w:r>
        <w:rPr>
          <w:rFonts w:ascii="Times New Roman" w:hAnsi="Times New Roman"/>
          <w:b w:val="false"/>
          <w:i w:val="false"/>
          <w:color w:val="000000"/>
          <w:sz w:val="22"/>
        </w:rPr>
        <w:t xml:space="preserve">Ninety days if the third cancellation for cause occurs within 36 months of the second cancellation for cause. See </w:t>
      </w:r>
      <w:hyperlink r:id="rId8">
        <w:r>
          <w:rPr>
            <w:rStyle w:val="Hyperlink"/>
            <w:rFonts w:ascii="Times New Roman" w:hAnsi="Times New Roman"/>
            <w:b w:val="false"/>
            <w:i w:val="false"/>
            <w:color w:val="000000"/>
            <w:sz w:val="22"/>
          </w:rPr>
          <w:t>701—subrule 7.24(1)</w:t>
        </w:r>
      </w:hyperlink>
      <w:r>
        <w:rPr>
          <w:rFonts w:ascii="Times New Roman" w:hAnsi="Times New Roman"/>
          <w:b w:val="false"/>
          <w:i w:val="false"/>
          <w:color w:val="000000"/>
          <w:sz w:val="22"/>
        </w:rPr>
        <w:t xml:space="preserve"> for rights to appeal.</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Senate File 136</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68.pdf" Type="http://schemas.openxmlformats.org/officeDocument/2006/relationships/hyperlink" Id="rId4"/>
    <Relationship TargetMode="External" Target="https://www.legis.iowa.gov/docs/ico/chapter/452A.4.pdf" Type="http://schemas.openxmlformats.org/officeDocument/2006/relationships/hyperlink" Id="rId5"/>
    <Relationship TargetMode="External" Target="https://www.legis.iowa.gov/docs/ico/chapter/452A.6.pdf" Type="http://schemas.openxmlformats.org/officeDocument/2006/relationships/hyperlink" Id="rId6"/>
    <Relationship TargetMode="External" Target="https://www.legis.iowa.gov/docs/ico/chapter/452A.74.pdf" Type="http://schemas.openxmlformats.org/officeDocument/2006/relationships/hyperlink" Id="rId7"/>
    <Relationship TargetMode="External" Target="https://www.legis.iowa.gov/docs/iac/rule/701.7.24.pdf" Type="http://schemas.openxmlformats.org/officeDocument/2006/relationships/hyperlink" Id="rId8"/>
    <Relationship TargetMode="External" Target="https://www.legis.iowa.gov/docs/ico/chapter/452A.68.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