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701—259.21</w:t>
      </w:r>
      <w:r>
        <w:rPr>
          <w:rFonts w:ascii="Times New Roman" w:hAnsi="Times New Roman"/>
          <w:b/>
          <w:i w:val="false"/>
          <w:color w:val="000000"/>
          <w:sz w:val="22"/>
        </w:rPr>
        <w:t xml:space="preserve">(452A) </w:t>
      </w:r>
      <w:r>
        <w:rPr>
          <w:rFonts w:ascii="Times New Roman" w:hAnsi="Times New Roman"/>
          <w:b/>
          <w:i w:val="false"/>
          <w:color w:val="000000"/>
          <w:sz w:val="22"/>
        </w:rPr>
        <w:t xml:space="preserve">Bonding procedure. </w:t>
      </w:r>
      <w:r>
        <w:rPr>
          <w:rFonts w:ascii="Times New Roman" w:hAnsi="Times New Roman"/>
          <w:b w:val="false"/>
          <w:i w:val="false"/>
          <w:color w:val="000000"/>
          <w:sz w:val="22"/>
        </w:rPr>
        <w:t xml:space="preserve">The director may, when necessary and advisable in order to secure the collection of the tax, require any person subject to the tax to file with the department a bond in an amount as the director may fix, or in lieu of the bond, securities approved by the director in an amount as the director may prescribe. Pursuant to the statutory authorization in Iowa Code sections </w:t>
      </w:r>
      <w:hyperlink r:id="rId4">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 the director has determined that the following procedures will be instituted with regard to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259.21(1)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Classes of business. When the director determines, based on departmental records, other state or federal agency statistics, or current economic conditions, that certain segments of the petroleum business community are experiencing above average financial failures such that the collection of the tax might be jeopardized, a bond or security will be required from every licensee operating a business within this class unless it is shown to the director’s satisfaction that a particular licensee within a designated class is solvent and that the licensee previously timely remitted the tax. If the director selects certain classes of licensees for posting a bond or security, rule making will be initiated to reflect a listing of the classes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New applications for fuel tax permits. Notwithstanding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the director has determined that importers will be required to post a bond in the amount of $25,000 and other applicants for a new fuel tax permit will be requested to post a bond or security if (1) it is determined upon a complete investigation of the applicant’s financial status that the applicant would likely not be able to timely remit the tax, or (2) the new applicant held a prior fuel tax license and the remittance record of the tax under the prior license falls within one of the conditions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or (3) the department experienced collection problems while the applicant was engaged in business under the prior license, or (4) the applicant is substantially similar to a person who would have been required to post a bond under the guidelines as set forth in </w:t>
      </w:r>
      <w:r>
        <w:rPr>
          <w:rFonts w:ascii="Times New Roman" w:hAnsi="Times New Roman"/>
          <w:b w:val="false"/>
          <w:i/>
          <w:color w:val="000000"/>
          <w:sz w:val="22"/>
        </w:rPr>
        <w:t>“c”</w:t>
      </w:r>
      <w:r>
        <w:rPr>
          <w:rFonts w:ascii="Times New Roman" w:hAnsi="Times New Roman"/>
          <w:b w:val="false"/>
          <w:i w:val="false"/>
          <w:color w:val="000000"/>
          <w:sz w:val="22"/>
        </w:rPr>
        <w:t xml:space="preserve"> or such person had a previous fuel tax permit revoked. The applicant is “substantially similar” to the extent that said applicant is owned or controlled by persons who owned or controlled the previous licensee. For example, X, a corporation, had a previous fuel tax permit revoked. X is dissolved and its shareholders create a new corporation, Y, which applies for a fuel tax permit. The persons or stockholders who controlled X now control Y. Therefore, Y will be requested to post a bond or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licensees—amount of bond or security. The simultaneous late filing of the return and the late payment of the tax will count as one delinquency. See rule </w:t>
      </w:r>
      <w:hyperlink r:id="rId6">
        <w:r>
          <w:rPr>
            <w:rStyle w:val="Hyperlink"/>
            <w:rFonts w:ascii="Times New Roman" w:hAnsi="Times New Roman"/>
            <w:b w:val="false"/>
            <w:i w:val="false"/>
            <w:color w:val="000000"/>
            <w:sz w:val="22"/>
          </w:rPr>
          <w:t>701—259.24</w:t>
        </w:r>
      </w:hyperlink>
      <w:r>
        <w:rPr>
          <w:rFonts w:ascii="Times New Roman" w:hAnsi="Times New Roman"/>
          <w:b w:val="false"/>
          <w:i w:val="false"/>
          <w:color w:val="000000"/>
          <w:sz w:val="22"/>
        </w:rPr>
        <w:t xml:space="preserve">(452A). However, the late filing of the return or the late payment of the tax will not count as a delinquency if the license holder can satisfy one of the conditions set forth in Iowa Code section </w:t>
      </w:r>
      <w:hyperlink r:id="rId7">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penalty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Suppliers will be requested to post a bond or security when they have had one or more delinquencies in remitting the fuel tax or timely filing monthly returns during the past six months.</w:t>
      </w:r>
    </w:p>
    <w:p>
      <w:pPr>
        <w:spacing w:before="0" w:after="0"/>
        <w:ind w:left="120"/>
        <w:jc w:val="both"/>
      </w:pPr>
      <w:r>
        <w:rPr>
          <w:rFonts w:ascii="Times New Roman" w:hAnsi="Times New Roman"/>
          <w:b w:val="false"/>
          <w:i w:val="false"/>
          <w:color w:val="000000"/>
          <w:sz w:val="22"/>
        </w:rPr>
        <w:t>The bond or security will be an amount sufficient to cover six months’ fuel tax liability or $5,000,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Restrictive suppliers will be requested to post a bond or security when they have had two or more delinquencies in remitting the fuel tax or timely filing monthly returns during the past 12 months.</w:t>
      </w:r>
    </w:p>
    <w:p>
      <w:pPr>
        <w:spacing w:before="0" w:after="0"/>
        <w:ind w:left="120"/>
        <w:jc w:val="both"/>
      </w:pPr>
      <w:r>
        <w:rPr>
          <w:rFonts w:ascii="Times New Roman" w:hAnsi="Times New Roman"/>
          <w:b w:val="false"/>
          <w:i w:val="false"/>
          <w:color w:val="000000"/>
          <w:sz w:val="22"/>
        </w:rPr>
        <w:t>The bond or security will be an amount sufficient to cover 12 months’ fuel tax liability or $2,000,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Blenders will be requested to post a bond or security when they have had two or more delinquencies in remitting the fuel tax or timely filing monthly returns during the past six months.</w:t>
      </w:r>
    </w:p>
    <w:p>
      <w:pPr>
        <w:spacing w:before="0" w:after="0"/>
        <w:ind w:left="120"/>
        <w:jc w:val="both"/>
      </w:pPr>
      <w:r>
        <w:rPr>
          <w:rFonts w:ascii="Times New Roman" w:hAnsi="Times New Roman"/>
          <w:b w:val="false"/>
          <w:i w:val="false"/>
          <w:color w:val="000000"/>
          <w:sz w:val="22"/>
        </w:rPr>
        <w:t>The bond or security will be an amount sufficient to cover 12 months’ fuel tax liability or $2,000,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Compressed natural gas, liquefied natural gas, and liquefied petroleum gas dealers and users will be requested to post a bond or security when they have had two or more delinquencies in remitting the fuel tax or timely filing monthly returns during the past 12 months. The bond or security will be an amount sufficient to cover 12 months’ fuel tax liability or $500,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purchasers and end users will be required to post a bond or security when they have failed to pay the tax to a supplier. They will not be allowed to register as an eligible purchaser or end user again until the bond or security requirement has been complied with.</w:t>
      </w:r>
    </w:p>
    <w:p>
      <w:pPr>
        <w:spacing w:before="0" w:after="0"/>
        <w:ind w:left="120"/>
        <w:jc w:val="both"/>
      </w:pPr>
      <w:r>
        <w:rPr>
          <w:rFonts w:ascii="Times New Roman" w:hAnsi="Times New Roman"/>
          <w:b w:val="false"/>
          <w:i w:val="false"/>
          <w:color w:val="000000"/>
          <w:sz w:val="22"/>
        </w:rPr>
        <w:t>The bond or security will be an amount sufficient to cover six months’ fuel tax based on previous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Waiver of bond. If a licensee has been requested to post a bond or security or if an applicant for a license has been requested to post a bond or security, upon the filing of the bond or security if the licensee maintains a good filing record for a period of two years, the licensee may request that the department waive the continued bond or security requirement. Importer bonds will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259.21(2)</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or bond. </w:t>
      </w:r>
      <w:r>
        <w:rPr>
          <w:rFonts w:ascii="Times New Roman" w:hAnsi="Times New Roman"/>
          <w:b w:val="false"/>
          <w:i w:val="false"/>
          <w:color w:val="000000"/>
          <w:sz w:val="22"/>
        </w:rPr>
        <w:t xml:space="preserve">When it is determined that a licensee or applicant for a fuel tax permit is required to post collateral to secure the collection of the fuel tax, the following types of collateral will be considered as sufficient: cash, surety bonds, securities, or certificates of deposit. “Cash” means guaranteed funds including, but not limited to, cashier’s check, money order, or certified check. If cash is posted as a bond, the bond will not be considered filed until the final payment is made, if paid in installments. A certificate of deposit must have a maturity date of 24 months from the date of assignment to the department. An assignment from the bank must accompany the original certificate of deposit filed with the department for the bank to be released from liability. When a licensee elects to post cash rather than a certificate of deposit as a bond, conversion to a certificate of deposit will not be allowed. When the licensee is a corporation, an officer of the corporation may assume personal responsibility for the payment of fuel tax. Security requirements for the officer will be evaluated as provided in </w:t>
      </w:r>
      <w:hyperlink r:id="rId8">
        <w:r>
          <w:rPr>
            <w:rStyle w:val="Hyperlink"/>
            <w:rFonts w:ascii="Times New Roman" w:hAnsi="Times New Roman"/>
            <w:b w:val="false"/>
            <w:i w:val="false"/>
            <w:color w:val="000000"/>
            <w:sz w:val="22"/>
          </w:rPr>
          <w:t>259.21(1)</w:t>
        </w:r>
      </w:hyperlink>
      <w:r>
        <w:rPr>
          <w:rFonts w:ascii="Times New Roman" w:hAnsi="Times New Roman"/>
          <w:b w:val="false"/>
          <w:i w:val="false"/>
          <w:color w:val="000000"/>
          <w:sz w:val="22"/>
        </w:rPr>
        <w:t xml:space="preserve"> above as if the officer applied for a fuel tax license as an individual.</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35.pdf" Type="http://schemas.openxmlformats.org/officeDocument/2006/relationships/hyperlink" Id="rId4"/>
    <Relationship TargetMode="External" Target="https://www.legis.iowa.gov/docs/ico/chapter/452A.66.pdf" Type="http://schemas.openxmlformats.org/officeDocument/2006/relationships/hyperlink" Id="rId5"/>
    <Relationship TargetMode="External" Target="https://www.legis.iowa.gov/docs/iac/rule/701.259.24.pdf" Type="http://schemas.openxmlformats.org/officeDocument/2006/relationships/hyperlink" Id="rId6"/>
    <Relationship TargetMode="External" Target="https://www.legis.iowa.gov/docs/ico/chapter/421.27.pdf" Type="http://schemas.openxmlformats.org/officeDocument/2006/relationships/hyperlink" Id="rId7"/>
    <Relationship TargetMode="External" Target="https://www.legis.iowa.gov/docs/iac/rule/701.259.21.pdf" Type="http://schemas.openxmlformats.org/officeDocument/2006/relationships/hyperlink" Id="rId8"/>
    <Relationship TargetMode="External" Target="https://www.legis.iowa.gov/docs/ico/chapter/423.35.pdf" Type="http://schemas.openxmlformats.org/officeDocument/2006/relationships/hyperlink" Id="rId9"/>
    <Relationship TargetMode="External" Target="https://www.legis.iowa.gov/docs/ico/chapter/452A.6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