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w:t>
      </w:r>
      <w:r>
        <w:rPr>
          <w:rFonts w:ascii="Times New Roman" w:hAnsi="Times New Roman"/>
          <w:b/>
          <w:i w:val="false"/>
          <w:color w:val="000000"/>
          <w:sz w:val="22"/>
        </w:rPr>
        <w:t xml:space="preserve">(452A) </w:t>
      </w:r>
      <w:r>
        <w:rPr>
          <w:rFonts w:ascii="Times New Roman" w:hAnsi="Times New Roman"/>
          <w:b/>
          <w:i w:val="false"/>
          <w:color w:val="000000"/>
          <w:sz w:val="22"/>
        </w:rPr>
        <w:t xml:space="preserve">Statute of limitations, supplemental assessments and refund adjustments. </w:t>
      </w:r>
      <w:r>
        <w:rPr>
          <w:rFonts w:ascii="Times New Roman" w:hAnsi="Times New Roman"/>
          <w:b w:val="false"/>
          <w:i w:val="false"/>
          <w:color w:val="000000"/>
          <w:sz w:val="22"/>
        </w:rPr>
        <w:t xml:space="preserve">After a return is filed, the department must examine it, determine fuel taxes due, and give notice of assessment to the taxpayer. If no return is filed, the department may determine the tax due and give notice thereof. See rule </w:t>
      </w:r>
      <w:hyperlink r:id="rId4">
        <w:r>
          <w:rPr>
            <w:rStyle w:val="Hyperlink"/>
            <w:rFonts w:ascii="Times New Roman" w:hAnsi="Times New Roman"/>
            <w:b w:val="false"/>
            <w:i w:val="false"/>
            <w:color w:val="000000"/>
            <w:sz w:val="22"/>
          </w:rPr>
          <w:t>701—259.5</w:t>
        </w:r>
      </w:hyperlink>
      <w:r>
        <w:rPr>
          <w:rFonts w:ascii="Times New Roman" w:hAnsi="Times New Roman"/>
          <w:b w:val="false"/>
          <w:i w:val="false"/>
          <w:color w:val="000000"/>
          <w:sz w:val="22"/>
        </w:rPr>
        <w:t>(452A). The period for the examination and determination of the correct amount of tax is unlimited in the case of a false or fraudulent return made with the intent to evade tax or in the case of a failure to file a return.</w:t>
      </w:r>
    </w:p>
    <w:p>
      <w:pPr>
        <w:spacing w:before="0" w:after="0"/>
        <w:ind w:left="120"/>
        <w:jc w:val="left"/>
      </w:pP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left"/>
      </w:pPr>
      <w:r>
        <w:rPr>
          <w:rFonts w:ascii="Times New Roman" w:hAnsi="Times New Roman"/>
          <w:b w:val="false"/>
          <w:i w:val="false"/>
          <w:color w:val="000000"/>
          <w:sz w:val="22"/>
        </w:rPr>
        <w:t xml:space="preserve">If the assessment or refund adjustment is appealed (protested under rule </w:t>
      </w:r>
      <w:hyperlink r:id="rId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w:t>
      </w:r>
    </w:p>
    <w:p>
      <w:pPr>
        <w:spacing w:before="0" w:after="0"/>
        <w:ind w:left="120"/>
        <w:jc w:val="left"/>
      </w:pPr>
      <w:r>
        <w:rPr>
          <w:rFonts w:ascii="Times New Roman" w:hAnsi="Times New Roman"/>
          <w:b w:val="false"/>
          <w:i w:val="false"/>
          <w:color w:val="000000"/>
          <w:sz w:val="22"/>
        </w:rPr>
        <w:t>The three-year period of limitation may be extended by a taxpayer by signing a waiver agreement form to be provided by the department. The agreement must stipulate the period of extension and must also provide that a claim for refund may be filed by the taxpayer at any time during the period of extension.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452A.67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9.5.pdf" Type="http://schemas.openxmlformats.org/officeDocument/2006/relationships/hyperlink" Id="rId4"/>
    <Relationship TargetMode="External" Target="https://www.legis.iowa.gov/docs/iac/rule/701.7.8.pdf" Type="http://schemas.openxmlformats.org/officeDocument/2006/relationships/hyperlink" Id="rId5"/>
    <Relationship TargetMode="External" Target="https://www.legis.iowa.gov/docs/ico/chapter/452A.6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