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701—259.18</w:t>
      </w:r>
      <w:r>
        <w:rPr>
          <w:rFonts w:ascii="Times New Roman" w:hAnsi="Times New Roman"/>
          <w:b/>
          <w:i w:val="false"/>
          <w:color w:val="000000"/>
          <w:sz w:val="22"/>
        </w:rPr>
        <w:t xml:space="preserve">(452A) </w:t>
      </w:r>
      <w:r>
        <w:rPr>
          <w:rFonts w:ascii="Times New Roman" w:hAnsi="Times New Roman"/>
          <w:b/>
          <w:i w:val="false"/>
          <w:color w:val="000000"/>
          <w:sz w:val="22"/>
        </w:rPr>
        <w:t xml:space="preserve">Delegation to audit and examine. </w:t>
      </w:r>
      <w:r>
        <w:rPr>
          <w:rFonts w:ascii="Times New Roman" w:hAnsi="Times New Roman"/>
          <w:b w:val="false"/>
          <w:i w:val="false"/>
          <w:color w:val="000000"/>
          <w:sz w:val="22"/>
        </w:rPr>
        <w:t>Pursuant to statutory authority, the director of revenue delegates to the coadministrators of the compliance division the power to examine reports, returns, and records, make audits, and determine the correct amount of tax, interest, penalties, and fines due, and to take all actions authorized to collect the same, subject to review by or appeal to the director of revenue. The power so delegated may further be delegated by the coadministrators of the division to auditors, clerks, examiners, and employees of the division.</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4">
        <w:r>
          <w:rPr>
            <w:rStyle w:val="Hyperlink"/>
            <w:rFonts w:ascii="Times New Roman" w:hAnsi="Times New Roman"/>
            <w:b w:val="false"/>
            <w:i w:val="false"/>
            <w:color w:val="000000"/>
            <w:sz w:val="22"/>
          </w:rPr>
          <w:t>452A.62</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452A.76</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6508C</w:t>
      </w:r>
      <w:r>
        <w:rPr>
          <w:rFonts w:ascii="Times New Roman" w:hAnsi="Times New Roman"/>
          <w:b w:val="false"/>
          <w:i w:val="false"/>
          <w:color w:val="000000"/>
          <w:sz w:val="16"/>
        </w:rPr>
        <w:t>, IAB 9/7/22, effective 10/12/22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2A.62.pdf" Type="http://schemas.openxmlformats.org/officeDocument/2006/relationships/hyperlink" Id="rId4"/>
    <Relationship TargetMode="External" Target="https://www.legis.iowa.gov/docs/ico/chapter/452A.76.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