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701—259.11</w:t>
      </w:r>
      <w:r>
        <w:rPr>
          <w:rFonts w:ascii="Times New Roman" w:hAnsi="Times New Roman"/>
          <w:b/>
          <w:i w:val="false"/>
          <w:color w:val="000000"/>
          <w:sz w:val="22"/>
        </w:rPr>
        <w:t xml:space="preserve">(452A) </w:t>
      </w:r>
      <w:r>
        <w:rPr>
          <w:rFonts w:ascii="Times New Roman" w:hAnsi="Times New Roman"/>
          <w:b/>
          <w:i w:val="false"/>
          <w:color w:val="000000"/>
          <w:sz w:val="22"/>
        </w:rPr>
        <w:t xml:space="preserve">Reports, returns, records—variations. </w:t>
      </w:r>
      <w:r>
        <w:rPr>
          <w:rFonts w:ascii="Times New Roman" w:hAnsi="Times New Roman"/>
          <w:b w:val="false"/>
          <w:i w:val="false"/>
          <w:color w:val="000000"/>
          <w:sz w:val="22"/>
        </w:rPr>
        <w:t xml:space="preserve">The department will prescribe and furnish forms upon which reports, returns, and applications are to be made to the department under Iowa Code chapter </w:t>
      </w:r>
      <w:hyperlink r:id="rId4">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Claims for refund will be made on forms provided by the department or in any other manner as prescribed by the director. Licensees may substitute forms for their use, other than official forms, if all the requirements in department rule </w:t>
      </w:r>
      <w:hyperlink r:id="rId5">
        <w:r>
          <w:rPr>
            <w:rStyle w:val="Hyperlink"/>
            <w:rFonts w:ascii="Times New Roman" w:hAnsi="Times New Roman"/>
            <w:b w:val="false"/>
            <w:i w:val="false"/>
            <w:color w:val="000000"/>
            <w:sz w:val="22"/>
          </w:rPr>
          <w:t>701—8.3</w:t>
        </w:r>
      </w:hyperlink>
      <w:r>
        <w:rPr>
          <w:rFonts w:ascii="Times New Roman" w:hAnsi="Times New Roman"/>
          <w:b w:val="false"/>
          <w:i w:val="false"/>
          <w:color w:val="000000"/>
          <w:sz w:val="22"/>
        </w:rPr>
        <w:t>(17A) are met.</w:t>
      </w:r>
    </w:p>
    <w:p>
      <w:pPr>
        <w:spacing w:before="0" w:after="0"/>
        <w:ind w:left="120"/>
        <w:jc w:val="left"/>
      </w:pPr>
      <w:r>
        <w:rPr>
          <w:rFonts w:ascii="Times New Roman" w:hAnsi="Times New Roman"/>
          <w:b w:val="false"/>
          <w:i w:val="false"/>
          <w:color w:val="000000"/>
          <w:sz w:val="22"/>
        </w:rPr>
        <w:t>If the information required in these documents is presented to the department on forms or in a manner other than the prescribed form, or approved substitute form, the return, application, or claim for refund or credit shall not be deemed “filed.” The forms may be furnished by the department (except those pertaining to division III interstate operations which are available from the department of transportation) and, therefore, the fact that the reporting party does not have the prescribed form is not an excuse for failure to file.</w:t>
      </w:r>
    </w:p>
    <w:p>
      <w:pPr>
        <w:spacing w:before="0" w:after="0"/>
        <w:ind w:left="120"/>
        <w:jc w:val="left"/>
      </w:pPr>
      <w:r>
        <w:rPr>
          <w:rFonts w:ascii="Times New Roman" w:hAnsi="Times New Roman"/>
          <w:b w:val="false"/>
          <w:i w:val="false"/>
          <w:color w:val="000000"/>
          <w:sz w:val="22"/>
        </w:rPr>
        <w:t>The department may also prescribe the form of the records which the reporting parties are required to keep in support of the reports/returns they file. The department may approve the form of the records which are being kept by any reporting party and must approve the form of record being kept if that form contains all of the information on the prescribed form, the information is compiled in such a manner as to make it easily ascertainable by department personnel, and substantially complies with the prescribed form.</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pdf" Type="http://schemas.openxmlformats.org/officeDocument/2006/relationships/hyperlink" Id="rId4"/>
    <Relationship TargetMode="External" Target="https://www.legis.iowa.gov/docs/iac/rule/701.8.3.pdf" Type="http://schemas.openxmlformats.org/officeDocument/2006/relationships/hyperlink" Id="rId5"/>
    <Relationship TargetMode="External" Target="https://www.legis.iowa.gov/docs/ico/chapter/452A.6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