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701—259.10</w:t>
      </w:r>
      <w:r>
        <w:rPr>
          <w:rFonts w:ascii="Times New Roman" w:hAnsi="Times New Roman"/>
          <w:b/>
          <w:i w:val="false"/>
          <w:color w:val="000000"/>
          <w:sz w:val="22"/>
        </w:rPr>
        <w:t xml:space="preserve">(452A) </w:t>
      </w:r>
      <w:r>
        <w:rPr>
          <w:rFonts w:ascii="Times New Roman" w:hAnsi="Times New Roman"/>
          <w:b/>
          <w:i w:val="false"/>
          <w:color w:val="000000"/>
          <w:sz w:val="22"/>
        </w:rPr>
        <w:t xml:space="preserve">Application of remittance. </w:t>
      </w:r>
      <w:r>
        <w:rPr>
          <w:rFonts w:ascii="Times New Roman" w:hAnsi="Times New Roman"/>
          <w:b w:val="false"/>
          <w:i w:val="false"/>
          <w:color w:val="000000"/>
          <w:sz w:val="22"/>
        </w:rPr>
        <w:t>All payments are to be first applied to the penalty and then to the interest, and the balance, if any, to the amount of tax then due. If a taxpayer remits a payment on or before the due date, but the payment is insufficient to discharge the tax liability, the entire amount of the payment applies to the tax, and the penalty and interest are based on the unpaid portion of the tax. If the department determines there is additional tax due from a taxpayer, interest and penalty shall accrue on that amount from the date it should have been reported and paid.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 xml:space="preserve">, and Iowa Code sections </w:t>
      </w:r>
      <w:hyperlink r:id="rId5">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452A.66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59.pdf" Type="http://schemas.openxmlformats.org/officeDocument/2006/relationships/hyperlink" Id="rId4"/>
    <Relationship TargetMode="External" Target="https://www.legis.iowa.gov/docs/ico/chapter/452A.65.pdf" Type="http://schemas.openxmlformats.org/officeDocument/2006/relationships/hyperlink" Id="rId5"/>
    <Relationship TargetMode="External" Target="https://www.legis.iowa.gov/docs/ico/chapter/452A.6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