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701—256.16</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prescribe the forms necessary for the efficient administration of </w:t>
      </w:r>
      <w:r>
        <w:rPr>
          <w:rFonts w:ascii="Times New Roman" w:hAnsi="Times New Roman"/>
          <w:b w:val="false"/>
          <w:i w:val="false"/>
          <w:color w:val="000000"/>
          <w:sz w:val="22"/>
        </w:rPr>
        <w:t>2005 Iowa Acts, House File 339, section 4</w:t>
      </w:r>
      <w:r>
        <w:rPr>
          <w:rFonts w:ascii="Times New Roman" w:hAnsi="Times New Roman"/>
          <w:b w:val="false"/>
          <w:i w:val="false"/>
          <w:color w:val="000000"/>
          <w:sz w:val="22"/>
        </w:rPr>
        <w:t>, and may require uniform books and records to be used and kept by each retailer or other person as deemed necessary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256.16(2)</w:t>
      </w:r>
      <w:r>
        <w:rPr>
          <w:rFonts w:ascii="Times New Roman" w:hAnsi="Times New Roman"/>
          <w:b w:val="false"/>
          <w:i w:val="false"/>
          <w:color w:val="000000"/>
          <w:sz w:val="22"/>
        </w:rPr>
        <w:t> </w:t>
      </w:r>
      <w:r>
        <w:rPr>
          <w:rFonts w:ascii="Times New Roman" w:hAnsi="Times New Roman"/>
          <w:b w:val="false"/>
          <w:i w:val="false"/>
          <w:color w:val="000000"/>
          <w:sz w:val="22"/>
        </w:rPr>
        <w:t>Every retailer shall, when requested by the department, make additional reports as the department deems necessary and proper and shall, at the request of the department, furnish full and complete information pertaining to any transaction of the retailer involving the purchase or sale or use of tobacco products.</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