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701—252.9</w:t>
      </w:r>
      <w:r>
        <w:rPr>
          <w:rFonts w:ascii="Times New Roman" w:hAnsi="Times New Roman"/>
          <w:b/>
          <w:i w:val="false"/>
          <w:color w:val="000000"/>
          <w:sz w:val="22"/>
        </w:rPr>
        <w:t xml:space="preserve">(423G)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201. </w:t>
      </w:r>
      <w:r>
        <w:rPr>
          <w:rFonts w:ascii="Times New Roman" w:hAnsi="Times New Roman"/>
          <w:b w:val="false"/>
          <w:i w:val="false"/>
          <w:color w:val="000000"/>
          <w:sz w:val="22"/>
        </w:rPr>
        <w:t xml:space="preserve">The requirements of </w:t>
      </w:r>
      <w:hyperlink r:id="rId4">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shall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252.9(2)</w:t>
      </w:r>
      <w:r>
        <w:rPr>
          <w:rFonts w:ascii="Times New Roman" w:hAnsi="Times New Roman"/>
          <w:b w:val="false"/>
          <w:i w:val="false"/>
          <w:color w:val="000000"/>
          <w:sz w:val="22"/>
        </w:rPr>
        <w:t> </w:t>
      </w:r>
      <w:r>
        <w:rPr>
          <w:rFonts w:ascii="Times New Roman" w:hAnsi="Times New Roman"/>
          <w:b w:val="false"/>
          <w:i/>
          <w:color w:val="000000"/>
          <w:sz w:val="22"/>
        </w:rPr>
        <w:t xml:space="preserve">Separate water service excise tax permit required. </w:t>
      </w:r>
      <w:r>
        <w:rPr>
          <w:rFonts w:ascii="Times New Roman" w:hAnsi="Times New Roman"/>
          <w:b w:val="false"/>
          <w:i w:val="false"/>
          <w:color w:val="000000"/>
          <w:sz w:val="22"/>
        </w:rPr>
        <w:t>All water utilities must register for a water service excise tax permit, and the water service excise tax shall be remitted under that permit. Water utilities that make water service sales subject to water service excise tax and other sales subject to sales tax shall obtain a water service excise tax permit in addition to their current sales tax permit and shall remit all sales tax under the sales tax permit and all water service excise tax under the water service excise tax permit.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01.201.pdf" Type="http://schemas.openxmlformats.org/officeDocument/2006/relationships/hyperlink" Id="rId4"/>
    <Relationship TargetMode="External" Target="https://www.legis.iowa.gov/docs/ico/chapter/423G.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