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701—252.8</w:t>
      </w:r>
      <w:r>
        <w:rPr>
          <w:rFonts w:ascii="Times New Roman" w:hAnsi="Times New Roman"/>
          <w:b/>
          <w:i w:val="false"/>
          <w:color w:val="000000"/>
          <w:sz w:val="22"/>
        </w:rPr>
        <w:t xml:space="preserve">(423G) </w:t>
      </w:r>
      <w:r>
        <w:rPr>
          <w:rFonts w:ascii="Times New Roman" w:hAnsi="Times New Roman"/>
          <w:b/>
          <w:i w:val="false"/>
          <w:color w:val="000000"/>
          <w:sz w:val="22"/>
        </w:rPr>
        <w:t xml:space="preserve">Filing returns; 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252.8(1)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701—Chapter 202. </w:t>
      </w:r>
      <w:r>
        <w:rPr>
          <w:rFonts w:ascii="Times New Roman" w:hAnsi="Times New Roman"/>
          <w:b w:val="false"/>
          <w:i w:val="false"/>
          <w:color w:val="000000"/>
          <w:sz w:val="22"/>
        </w:rPr>
        <w:t xml:space="preserve">The requirements of </w:t>
      </w:r>
      <w:hyperlink r:id="rId4">
        <w:r>
          <w:rPr>
            <w:rStyle w:val="Hyperlink"/>
            <w:rFonts w:ascii="Times New Roman" w:hAnsi="Times New Roman"/>
            <w:b w:val="false"/>
            <w:i w:val="false"/>
            <w:color w:val="000000"/>
            <w:sz w:val="22"/>
          </w:rPr>
          <w:t>701—Chapter 202</w:t>
        </w:r>
      </w:hyperlink>
      <w:r>
        <w:rPr>
          <w:rFonts w:ascii="Times New Roman" w:hAnsi="Times New Roman"/>
          <w:b w:val="false"/>
          <w:i w:val="false"/>
          <w:color w:val="000000"/>
          <w:sz w:val="22"/>
        </w:rPr>
        <w:t xml:space="preserve"> shall apply to water utilities in the same manner that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252.8(2)</w:t>
      </w:r>
      <w:r>
        <w:rPr>
          <w:rFonts w:ascii="Times New Roman" w:hAnsi="Times New Roman"/>
          <w:b w:val="false"/>
          <w:i w:val="false"/>
          <w:color w:val="000000"/>
          <w:sz w:val="22"/>
        </w:rPr>
        <w:t> </w:t>
      </w:r>
      <w:r>
        <w:rPr>
          <w:rFonts w:ascii="Times New Roman" w:hAnsi="Times New Roman"/>
          <w:b w:val="false"/>
          <w:i/>
          <w:color w:val="000000"/>
          <w:sz w:val="22"/>
        </w:rPr>
        <w:t xml:space="preserve">Frequency of return filing and payment of tax based on combined water service excise tax and sales and use tax. </w:t>
      </w:r>
      <w:r>
        <w:rPr>
          <w:rFonts w:ascii="Times New Roman" w:hAnsi="Times New Roman"/>
          <w:b w:val="false"/>
          <w:i w:val="false"/>
          <w:color w:val="000000"/>
          <w:sz w:val="22"/>
        </w:rPr>
        <w:t xml:space="preserve">With respect to the tax thresholds used for determining whether a retailer must file a return and remit sales and use tax monthly or annually, as described in rule </w:t>
      </w:r>
      <w:hyperlink r:id="rId5">
        <w:r>
          <w:rPr>
            <w:rStyle w:val="Hyperlink"/>
            <w:rFonts w:ascii="Times New Roman" w:hAnsi="Times New Roman"/>
            <w:b w:val="false"/>
            <w:i w:val="false"/>
            <w:color w:val="000000"/>
            <w:sz w:val="22"/>
          </w:rPr>
          <w:t>701—202.1</w:t>
        </w:r>
      </w:hyperlink>
      <w:r>
        <w:rPr>
          <w:rFonts w:ascii="Times New Roman" w:hAnsi="Times New Roman"/>
          <w:b w:val="false"/>
          <w:i w:val="false"/>
          <w:color w:val="000000"/>
          <w:sz w:val="22"/>
        </w:rPr>
        <w:t>(423), the threshold for determining how frequently a water utility must file a return and remit the water service excise tax shall be based on the sum of the total amount of sales and use tax collected and the total amount of water service excise tax collected.</w:t>
      </w:r>
    </w:p>
    <w:p>
      <w:pPr>
        <w:spacing w:before="0" w:after="0"/>
        <w:ind w:left="120"/>
        <w:jc w:val="both"/>
      </w:pP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423G.5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4217C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6398C</w:t>
      </w:r>
      <w:r>
        <w:rPr>
          <w:rFonts w:ascii="Times New Roman" w:hAnsi="Times New Roman"/>
          <w:b w:val="false"/>
          <w:i w:val="false"/>
          <w:color w:val="000000"/>
          <w:sz w:val="16"/>
        </w:rPr>
        <w:t>, IAB 7/13/22,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01.202.pdf" Type="http://schemas.openxmlformats.org/officeDocument/2006/relationships/hyperlink" Id="rId4"/>
    <Relationship TargetMode="External" Target="https://www.legis.iowa.gov/docs/iac/rule/701.202.1.pdf" Type="http://schemas.openxmlformats.org/officeDocument/2006/relationships/hyperlink" Id="rId5"/>
    <Relationship TargetMode="External" Target="https://www.legis.iowa.gov/docs/ico/chapter/423G.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