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701—252.6</w:t>
      </w:r>
      <w:r>
        <w:rPr>
          <w:rFonts w:ascii="Times New Roman" w:hAnsi="Times New Roman"/>
          <w:b/>
          <w:i w:val="false"/>
          <w:color w:val="000000"/>
          <w:sz w:val="22"/>
        </w:rPr>
        <w:t xml:space="preserve">(423G) </w:t>
      </w:r>
      <w:r>
        <w:rPr>
          <w:rFonts w:ascii="Times New Roman" w:hAnsi="Times New Roman"/>
          <w:b/>
          <w:i w:val="false"/>
          <w:color w:val="000000"/>
          <w:sz w:val="22"/>
        </w:rPr>
        <w:t xml:space="preserve">Itemization of tax required. </w:t>
      </w:r>
      <w:r>
        <w:rPr>
          <w:rFonts w:ascii="Times New Roman" w:hAnsi="Times New Roman"/>
          <w:b w:val="false"/>
          <w:i w:val="false"/>
          <w:color w:val="000000"/>
          <w:sz w:val="22"/>
        </w:rPr>
        <w:t xml:space="preserve">A water utility shall add the tax to the sales price of the water service, and the tax, when collected, shall be stated as a distinct item on any bill, receipt, agreement, or other similar document. The tax shall be identified as the water service excise tax, and the amount of tax paid shall be displayed clearly on the bill, receipt, agreement, or other similar document provided to the purchaser. </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G.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