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701—252.4</w:t>
      </w:r>
      <w:r>
        <w:rPr>
          <w:rFonts w:ascii="Times New Roman" w:hAnsi="Times New Roman"/>
          <w:b/>
          <w:i w:val="false"/>
          <w:color w:val="000000"/>
          <w:sz w:val="22"/>
        </w:rPr>
        <w:t xml:space="preserve">(423G) </w:t>
      </w:r>
      <w:r>
        <w:rPr>
          <w:rFonts w:ascii="Times New Roman" w:hAnsi="Times New Roman"/>
          <w:b/>
          <w:i w:val="false"/>
          <w:color w:val="000000"/>
          <w:sz w:val="22"/>
        </w:rPr>
        <w:t xml:space="preserve">Charges and fees included in the provision of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252.4(1)</w:t>
      </w:r>
      <w:r>
        <w:rPr>
          <w:rFonts w:ascii="Times New Roman" w:hAnsi="Times New Roman"/>
          <w:b w:val="false"/>
          <w:i w:val="false"/>
          <w:color w:val="000000"/>
          <w:sz w:val="22"/>
        </w:rPr>
        <w:t> </w:t>
      </w:r>
      <w:r>
        <w:rPr>
          <w:rFonts w:ascii="Times New Roman" w:hAnsi="Times New Roman"/>
          <w:b w:val="false"/>
          <w:i/>
          <w:color w:val="000000"/>
          <w:sz w:val="22"/>
        </w:rPr>
        <w:t xml:space="preserve">Sales integral to the ability to furnish water service. </w:t>
      </w:r>
      <w:r>
        <w:rPr>
          <w:rFonts w:ascii="Times New Roman" w:hAnsi="Times New Roman"/>
          <w:b w:val="false"/>
          <w:i w:val="false"/>
          <w:color w:val="000000"/>
          <w:sz w:val="22"/>
        </w:rPr>
        <w:t>The water service excise tax applies to the sale of water by piped distribution to consumers or users, including sales of accompanying services that are integral to furnishing water by piped distribution, even if the water service and accompanying services are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252.4(2)</w:t>
      </w:r>
      <w:r>
        <w:rPr>
          <w:rFonts w:ascii="Times New Roman" w:hAnsi="Times New Roman"/>
          <w:b w:val="false"/>
          <w:i w:val="false"/>
          <w:color w:val="000000"/>
          <w:sz w:val="22"/>
        </w:rPr>
        <w:t> </w:t>
      </w:r>
      <w:r>
        <w:rPr>
          <w:rFonts w:ascii="Times New Roman" w:hAnsi="Times New Roman"/>
          <w:b w:val="false"/>
          <w:i/>
          <w:color w:val="000000"/>
          <w:sz w:val="22"/>
        </w:rPr>
        <w:t xml:space="preserve">Examples of sales integral to the provision of water service. </w:t>
      </w:r>
      <w:r>
        <w:rPr>
          <w:rFonts w:ascii="Times New Roman" w:hAnsi="Times New Roman"/>
          <w:b w:val="false"/>
          <w:i w:val="false"/>
          <w:color w:val="000000"/>
          <w:sz w:val="22"/>
        </w:rPr>
        <w:t>Sales of services to customers or users that are considered integral to the furnishing of water by piped distribution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of nonitemized tangible personal property included with the sale of water service or an accompanying service that is integral to the provision of water service. See subparagraph </w:t>
      </w:r>
      <w:hyperlink r:id="rId4">
        <w:r>
          <w:rPr>
            <w:rStyle w:val="Hyperlink"/>
            <w:rFonts w:ascii="Times New Roman" w:hAnsi="Times New Roman"/>
            <w:b w:val="false"/>
            <w:i w:val="false"/>
            <w:color w:val="000000"/>
            <w:sz w:val="22"/>
          </w:rPr>
          <w:t>252.4(4)</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sales price of water sold, regardless of whether the water is metered.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account, or administrative charges or fees for water service, including but not limited to new customer account charges and minimum charges for access to water service, whether the customer uses the water service or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Fees for connection, disconnection, or reconnection to or from a water utility’s facilities, including tap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maintenance, inspection, and repairs of the water distribution system, water supplies, and facilities, including but not limited to fees for labor or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Fees for using or checking water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Water distribution system infrastructure and improvement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252.4(3)</w:t>
      </w:r>
      <w:r>
        <w:rPr>
          <w:rFonts w:ascii="Times New Roman" w:hAnsi="Times New Roman"/>
          <w:b w:val="false"/>
          <w:i w:val="false"/>
          <w:color w:val="000000"/>
          <w:sz w:val="22"/>
        </w:rPr>
        <w:t> </w:t>
      </w:r>
      <w:r>
        <w:rPr>
          <w:rFonts w:ascii="Times New Roman" w:hAnsi="Times New Roman"/>
          <w:b w:val="false"/>
          <w:i/>
          <w:color w:val="000000"/>
          <w:sz w:val="22"/>
        </w:rPr>
        <w:t xml:space="preserve">Examples of sales that are not water service or are not integral to the provision of water service. </w:t>
      </w:r>
      <w:r>
        <w:rPr>
          <w:rFonts w:ascii="Times New Roman" w:hAnsi="Times New Roman"/>
          <w:b w:val="false"/>
          <w:i w:val="false"/>
          <w:color w:val="000000"/>
          <w:sz w:val="22"/>
        </w:rPr>
        <w:t>Sales of services that are not integral to the furnishing of water by piped distribution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service contracts regulated under Iowa Code chapter </w:t>
      </w:r>
      <w:hyperlink r:id="rId5">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or rentals of tangible personal property, other than water, sold for a separately itemized price. See subparagraph </w:t>
      </w:r>
      <w:hyperlink r:id="rId6">
        <w:r>
          <w:rPr>
            <w:rStyle w:val="Hyperlink"/>
            <w:rFonts w:ascii="Times New Roman" w:hAnsi="Times New Roman"/>
            <w:b w:val="false"/>
            <w:i w:val="false"/>
            <w:color w:val="000000"/>
            <w:sz w:val="22"/>
          </w:rPr>
          <w:t>252.4(4)</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Returned check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Deposits, including but not limited to check and meter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printed bills, statements, labels, and other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Fees for late charges and nonpayment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Leak detection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252.4(4)</w:t>
      </w:r>
      <w:r>
        <w:rPr>
          <w:rFonts w:ascii="Times New Roman" w:hAnsi="Times New Roman"/>
          <w:b w:val="false"/>
          <w:i w:val="false"/>
          <w:color w:val="000000"/>
          <w:sz w:val="22"/>
        </w:rPr>
        <w:t> </w:t>
      </w:r>
      <w:r>
        <w:rPr>
          <w:rFonts w:ascii="Times New Roman" w:hAnsi="Times New Roman"/>
          <w:b w:val="false"/>
          <w:i/>
          <w:color w:val="000000"/>
          <w:sz w:val="22"/>
        </w:rPr>
        <w:t xml:space="preserve">Sales generally not subject to water service excise tax. </w:t>
      </w:r>
      <w:r>
        <w:rPr>
          <w:rFonts w:ascii="Times New Roman" w:hAnsi="Times New Roman"/>
          <w:b w:val="false"/>
          <w:i w:val="false"/>
          <w:color w:val="000000"/>
          <w:sz w:val="22"/>
        </w:rPr>
        <w:t xml:space="preserve">Water utilities may make sales that may or may not be integral to the sale of water service but that are not subject to water service excise tax because those nonintegral sales are subject to sales tax under Iowa Code section </w:t>
      </w:r>
      <w:hyperlink r:id="rId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as the sale of tangible personal property or as enumerated non-water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of tangible personal property. </w:t>
      </w:r>
      <w:r>
        <w:rPr>
          <w:rFonts w:ascii="Times New Roman" w:hAnsi="Times New Roman"/>
          <w:b w:val="false"/>
          <w:i w:val="false"/>
          <w:color w:val="000000"/>
          <w:sz w:val="22"/>
        </w:rPr>
        <w:t>Whether the sale of tangible personal property that is integral to water service is subject to the water service excise tax depends on whether the tangible personal property is sold to the consumer or user for a separately itemized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Itemized tangible personal property. Sales or rentals of tangible personal property by a water utility for a separately itemized price are not subject to the water service excise tax but may be subject to sales and use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Nonitemized tangible personal property. If the sale of tangible personal property is not itemized but is instead bundled with the sale of water service, including sales of services listed in subrule </w:t>
      </w:r>
      <w:hyperlink r:id="rId8">
        <w:r>
          <w:rPr>
            <w:rStyle w:val="Hyperlink"/>
            <w:rFonts w:ascii="Times New Roman" w:hAnsi="Times New Roman"/>
            <w:b w:val="false"/>
            <w:i w:val="false"/>
            <w:color w:val="000000"/>
            <w:sz w:val="22"/>
          </w:rPr>
          <w:t>252.4(2)</w:t>
        </w:r>
      </w:hyperlink>
      <w:r>
        <w:rPr>
          <w:rFonts w:ascii="Times New Roman" w:hAnsi="Times New Roman"/>
          <w:b w:val="false"/>
          <w:i w:val="false"/>
          <w:color w:val="000000"/>
          <w:sz w:val="22"/>
        </w:rPr>
        <w:t>, then the entire sales price is subject to the water service excise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Painting of hydrants. </w:t>
      </w:r>
      <w:r>
        <w:rPr>
          <w:rFonts w:ascii="Times New Roman" w:hAnsi="Times New Roman"/>
          <w:b w:val="false"/>
          <w:i w:val="false"/>
          <w:color w:val="000000"/>
          <w:sz w:val="22"/>
        </w:rPr>
        <w:t xml:space="preserve">The painting of hydrants constitutes painting services under Iowa Code section </w:t>
      </w:r>
      <w:hyperlink r:id="rId9">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“aj.”</w:t>
      </w:r>
      <w:r>
        <w:rPr>
          <w:rFonts w:ascii="Times New Roman" w:hAnsi="Times New Roman"/>
          <w:b w:val="false"/>
          <w:i w:val="false"/>
          <w:color w:val="000000"/>
          <w:sz w:val="22"/>
        </w:rPr>
        <w:t xml:space="preserve"> Painting is subject to sales tax and is not subject to water service excise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Plumbing and pipefitting. </w:t>
      </w:r>
      <w:r>
        <w:rPr>
          <w:rFonts w:ascii="Times New Roman" w:hAnsi="Times New Roman"/>
          <w:b w:val="false"/>
          <w:i w:val="false"/>
          <w:color w:val="000000"/>
          <w:sz w:val="22"/>
        </w:rPr>
        <w:t xml:space="preserve">Some repairs of a water distribution system may constitute plumbing and pipefitting under Iowa Code section </w:t>
      </w:r>
      <w:hyperlink r:id="rId10">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“an.”</w:t>
      </w:r>
      <w:r>
        <w:rPr>
          <w:rFonts w:ascii="Times New Roman" w:hAnsi="Times New Roman"/>
          <w:b w:val="false"/>
          <w:i w:val="false"/>
          <w:color w:val="000000"/>
          <w:sz w:val="22"/>
        </w:rPr>
        <w:t xml:space="preserve"> Plumbing and pipefitting services are subject to sales tax and are not subject to water service excise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252.4(5)</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The exemptions from sales tax under Iowa Code section </w:t>
      </w:r>
      <w:hyperlink r:id="rId11">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 xml:space="preserve"> also apply to sales subject to water service excise tax. For example, a water utility that purchases water service from a different water utility may be eligible to claim the sale for resale exemption pursuant to Iowa Code section </w:t>
      </w:r>
      <w:hyperlink r:id="rId12">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423G.4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423G.5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4217C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52.4.pdf" Type="http://schemas.openxmlformats.org/officeDocument/2006/relationships/hyperlink" Id="rId4"/>
    <Relationship TargetMode="External" Target="https://www.legis.iowa.gov/docs/ico/chapter/523C.pdf" Type="http://schemas.openxmlformats.org/officeDocument/2006/relationships/hyperlink" Id="rId5"/>
    <Relationship TargetMode="External" Target="https://www.legis.iowa.gov/docs/iac/rule/701.252.4.pdf" Type="http://schemas.openxmlformats.org/officeDocument/2006/relationships/hyperlink" Id="rId6"/>
    <Relationship TargetMode="External" Target="https://www.legis.iowa.gov/docs/ico/chapter/423.2.pdf" Type="http://schemas.openxmlformats.org/officeDocument/2006/relationships/hyperlink" Id="rId7"/>
    <Relationship TargetMode="External" Target="https://www.legis.iowa.gov/docs/iac/rule/701.252.4.pdf" Type="http://schemas.openxmlformats.org/officeDocument/2006/relationships/hyperlink" Id="rId8"/>
    <Relationship TargetMode="External" Target="https://www.legis.iowa.gov/docs/ico/chapter/423.2.pdf" Type="http://schemas.openxmlformats.org/officeDocument/2006/relationships/hyperlink" Id="rId9"/>
    <Relationship TargetMode="External" Target="https://www.legis.iowa.gov/docs/ico/chapter/423.2.pdf" Type="http://schemas.openxmlformats.org/officeDocument/2006/relationships/hyperlink" Id="rId10"/>
    <Relationship TargetMode="External" Target="https://www.legis.iowa.gov/docs/ico/chapter/423.3.pdf" Type="http://schemas.openxmlformats.org/officeDocument/2006/relationships/hyperlink" Id="rId11"/>
    <Relationship TargetMode="External" Target="https://www.legis.iowa.gov/docs/ico/chapter/423.3.pdf" Type="http://schemas.openxmlformats.org/officeDocument/2006/relationships/hyperlink" Id="rId12"/>
    <Relationship TargetMode="External" Target="https://www.legis.iowa.gov/docs/ico/chapter/423G.4.pdf" Type="http://schemas.openxmlformats.org/officeDocument/2006/relationships/hyperlink" Id="rId13"/>
    <Relationship TargetMode="External" Target="https://www.legis.iowa.gov/docs/ico/chapter/423G.5.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