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701—202.6</w:t>
      </w:r>
      <w:r>
        <w:rPr>
          <w:rFonts w:ascii="Times New Roman" w:hAnsi="Times New Roman"/>
          <w:b/>
          <w:i w:val="false"/>
          <w:color w:val="000000"/>
          <w:sz w:val="22"/>
        </w:rPr>
        <w:t xml:space="preserve">(423) </w:t>
      </w:r>
      <w:r>
        <w:rPr>
          <w:rFonts w:ascii="Times New Roman" w:hAnsi="Times New Roman"/>
          <w:b/>
          <w:i w:val="false"/>
          <w:color w:val="000000"/>
          <w:sz w:val="22"/>
        </w:rPr>
        <w:t xml:space="preserve">Direct pay permits and negotiated rate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202.6(1)</w:t>
      </w:r>
      <w:r>
        <w:rPr>
          <w:rFonts w:ascii="Times New Roman" w:hAnsi="Times New Roman"/>
          <w:b w:val="false"/>
          <w:i w:val="false"/>
          <w:color w:val="000000"/>
          <w:sz w:val="22"/>
        </w:rPr>
        <w:t> </w:t>
      </w:r>
      <w:r>
        <w:rPr>
          <w:rFonts w:ascii="Times New Roman" w:hAnsi="Times New Roman"/>
          <w:b w:val="false"/>
          <w:i/>
          <w:color w:val="000000"/>
          <w:sz w:val="22"/>
        </w:rPr>
        <w:t xml:space="preserve">Direct pay permits in general. </w:t>
      </w:r>
      <w:r>
        <w:rPr>
          <w:rFonts w:ascii="Times New Roman" w:hAnsi="Times New Roman"/>
          <w:b w:val="false"/>
          <w:i w:val="false"/>
          <w:color w:val="000000"/>
          <w:sz w:val="22"/>
        </w:rPr>
        <w:t xml:space="preserve">Qualified purchasers, users, and consumers of tangible personal property, specified digital products, or taxable services pursuant to Iowa Code chapter </w:t>
      </w:r>
      <w:hyperlink r:id="rId4">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may remit tax owed directly to the department instead of having the tax collected and remitted by the seller. A qualified purchaser, user, or consumer shall not be granted or exercise this direct pay option except upon proper application to the department and only after issuance of the direct pay permit by the director of the department or personnel authorized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a direct pay permit. </w:t>
      </w:r>
      <w:r>
        <w:rPr>
          <w:rFonts w:ascii="Times New Roman" w:hAnsi="Times New Roman"/>
          <w:b w:val="false"/>
          <w:i w:val="false"/>
          <w:color w:val="000000"/>
          <w:sz w:val="22"/>
        </w:rPr>
        <w:t>To qualify for a direct pay permit, an applicant will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 purchaser, user, or consumer of tangible personal property, specified digital products, or taxable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accrual of sales and use tax liability of more than $8,000 in a month. A purchaser, user, or consumer may have more than one business location and can combine the sales and use tax liabilities on consumed goods of all locations to meet the requirement of $8,000 in sales and use tax liability in a month to qualify if the records are located in a centralized location. If a purchaser, user, or consumer is combining more than one location, only one direct pay tax return for all of the combined locations needs to be filed with the department. However, local option sales tax should not be included in the tax base for determining qualification for a direct pay permit. If a purchaser, user, or consumer has more than one location, but not all locations wish to remit under a direct pay permit, the purchaser, user, or consumer will need to indicate which locations will be utilizing the direct pay permit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tax and file returns pursuant to Iowa Code section </w:t>
      </w:r>
      <w:hyperlink r:id="rId5">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 xml:space="preserve">. Paragraph </w:t>
      </w:r>
      <w:hyperlink r:id="rId6">
        <w:r>
          <w:rPr>
            <w:rStyle w:val="Hyperlink"/>
            <w:rFonts w:ascii="Times New Roman" w:hAnsi="Times New Roman"/>
            <w:b w:val="false"/>
            <w:i w:val="false"/>
            <w:color w:val="000000"/>
            <w:sz w:val="22"/>
          </w:rPr>
          <w:t>202.6(1)</w:t>
        </w:r>
      </w:hyperlink>
      <w:r>
        <w:rPr>
          <w:rFonts w:ascii="Times New Roman" w:hAnsi="Times New Roman"/>
          <w:b w:val="false"/>
          <w:i/>
          <w:color w:val="000000"/>
          <w:sz w:val="22"/>
        </w:rPr>
        <w:t>“d”</w:t>
      </w:r>
      <w:r>
        <w:rPr>
          <w:rFonts w:ascii="Times New Roman" w:hAnsi="Times New Roman"/>
          <w:b w:val="false"/>
          <w:i w:val="false"/>
          <w:color w:val="000000"/>
          <w:sz w:val="22"/>
        </w:rPr>
        <w:t xml:space="preserve"> contains further details.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Nonqualifying purchases or uses. </w:t>
      </w:r>
      <w:r>
        <w:rPr>
          <w:rFonts w:ascii="Times New Roman" w:hAnsi="Times New Roman"/>
          <w:b w:val="false"/>
          <w:i w:val="false"/>
          <w:color w:val="000000"/>
          <w:sz w:val="22"/>
        </w:rPr>
        <w:t xml:space="preserve">The granting of a direct pay permit is not allowed for any of the imposed taxes listed in Iowa Code section </w:t>
      </w:r>
      <w:hyperlink r:id="rId7">
        <w:r>
          <w:rPr>
            <w:rStyle w:val="Hyperlink"/>
            <w:rFonts w:ascii="Times New Roman" w:hAnsi="Times New Roman"/>
            <w:b w:val="false"/>
            <w:i w:val="false"/>
            <w:color w:val="000000"/>
            <w:sz w:val="22"/>
          </w:rPr>
          <w:t>423.36(9)</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permit information. </w:t>
      </w:r>
      <w:r>
        <w:rPr>
          <w:rFonts w:ascii="Times New Roman" w:hAnsi="Times New Roman"/>
          <w:b w:val="false"/>
          <w:i w:val="false"/>
          <w:color w:val="000000"/>
          <w:sz w:val="22"/>
        </w:rPr>
        <w:t xml:space="preserve">To obtain a direct pay permit, a purchaser, user, or consumer will fully and properly complete an application form prescribed by the director and provide certification that the purchaser, user, or consumer has paid sales and use tax to the department or vendors over the last two years prior to application, an average of $8,000 in a month. Upon approval, the director or personnel authorized by the director will issue a direct pay permit to qualifying applicants. The direct pay permit will contain direct pay permit identifying information, including a direct pay permit identification number. The direct pay permit should be retained by the permit holder. When purchasing from a vendor, a permit holder should give the vendor a certificate of exemption containing the information as set forth in rule </w:t>
      </w:r>
      <w:hyperlink r:id="rId8">
        <w:r>
          <w:rPr>
            <w:rStyle w:val="Hyperlink"/>
            <w:rFonts w:ascii="Times New Roman" w:hAnsi="Times New Roman"/>
            <w:b w:val="false"/>
            <w:i w:val="false"/>
            <w:color w:val="000000"/>
            <w:sz w:val="22"/>
          </w:rPr>
          <w:t>701—288.3</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Remittance and reporting. </w:t>
      </w:r>
      <w:r>
        <w:rPr>
          <w:rFonts w:ascii="Times New Roman" w:hAnsi="Times New Roman"/>
          <w:b w:val="false"/>
          <w:i w:val="false"/>
          <w:color w:val="000000"/>
          <w:sz w:val="22"/>
        </w:rPr>
        <w:t xml:space="preserve">Direct pay permit holders shall remit and report sales, use, and local option sales tax on a monthly basis. Remittance of tax due under a direct pay permit will begin with the first month after the direct pay permit is issued to the holder. The tax to be paid under a direct pay permit shall be remitted directly to the department by electronic funds transfer (EFT) only. A permit holder need not have remitted by EFT prior to obtaining a direct pay permit to qualify for such a permit. However, a permit holder must remit taxes due by EFT for transactions entered into on or after the date the permit is issued. All local option sales tax due must be reported and remitted at the same time as the sales and use taxes due under the direct pay permit for the corresponding tax period. However, local option sales tax should not be included in the tax base for determining qualification for a direct pay permit or frequency of remittance. Reports should be filed with the department on a monthly basis. The director may, when necessary and advisable in order to secure the collection of tax due, require an applicant for a direct pay permit or a permit holder to file with the director a qualified surety bond as set forth in Iowa Code section </w:t>
      </w:r>
      <w:hyperlink r:id="rId9">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 xml:space="preserve">. A permit holder who fails to report or remit any tax when due is subject to the penalty and interest provisions set forth in Iowa Code section </w:t>
      </w:r>
      <w:hyperlink r:id="rId10">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Permit revocation and nontransferability. </w:t>
      </w:r>
      <w:r>
        <w:rPr>
          <w:rFonts w:ascii="Times New Roman" w:hAnsi="Times New Roman"/>
          <w:b w:val="false"/>
          <w:i w:val="false"/>
          <w:color w:val="000000"/>
          <w:sz w:val="22"/>
        </w:rPr>
        <w:t xml:space="preserve">A direct pay permit may be used indefinitely unless it is revoked by the department. A direct pay permit is not transferable and cannot be assigned to a third party. The department may revoke a direct pay permit at any time the permit holder fails to meet the requirements for a direct pay permit, misuses the direct pay permit, or fails to comply with the provisions in Iowa Code section </w:t>
      </w:r>
      <w:hyperlink r:id="rId11">
        <w:r>
          <w:rPr>
            <w:rStyle w:val="Hyperlink"/>
            <w:rFonts w:ascii="Times New Roman" w:hAnsi="Times New Roman"/>
            <w:b w:val="false"/>
            <w:i w:val="false"/>
            <w:color w:val="000000"/>
            <w:sz w:val="22"/>
          </w:rPr>
          <w:t>423.36(9)</w:t>
        </w:r>
      </w:hyperlink>
      <w:r>
        <w:rPr>
          <w:rFonts w:ascii="Times New Roman" w:hAnsi="Times New Roman"/>
          <w:b w:val="false"/>
          <w:i w:val="false"/>
          <w:color w:val="000000"/>
          <w:sz w:val="22"/>
        </w:rPr>
        <w:t>. If a direct pay permit is revoked, it is the responsibility of the prior holder of the permit to inform all vendors of the revocation so the vendors may begin to collect tax at the time of purchase. A prior permit holder is responsible for any tax, penalty, and interest due for failure to notify a vendor of revocation of a direct pay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w:t>
      </w:r>
      <w:r>
        <w:rPr>
          <w:rFonts w:ascii="Times New Roman" w:hAnsi="Times New Roman"/>
          <w:b w:val="false"/>
          <w:i w:val="false"/>
          <w:color w:val="000000"/>
          <w:sz w:val="22"/>
        </w:rPr>
        <w:t>The parties involved in transactions involving a direct pay permit shall have the following record-keeping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holder. The holder of a direct pay permit will retain possession of the direct pay permit and keep a record of all transactions made pursuant to the direct pay permit in compliance with rule </w:t>
      </w:r>
      <w:hyperlink r:id="rId12">
        <w:r>
          <w:rPr>
            <w:rStyle w:val="Hyperlink"/>
            <w:rFonts w:ascii="Times New Roman" w:hAnsi="Times New Roman"/>
            <w:b w:val="false"/>
            <w:i w:val="false"/>
            <w:color w:val="000000"/>
            <w:sz w:val="22"/>
          </w:rPr>
          <w:t>701—11.4</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Vendor. A vendor will retain a valid exemption certificate under rule </w:t>
      </w:r>
      <w:hyperlink r:id="rId13">
        <w:r>
          <w:rPr>
            <w:rStyle w:val="Hyperlink"/>
            <w:rFonts w:ascii="Times New Roman" w:hAnsi="Times New Roman"/>
            <w:b w:val="false"/>
            <w:i w:val="false"/>
            <w:color w:val="000000"/>
            <w:sz w:val="22"/>
          </w:rPr>
          <w:t>701—288.3</w:t>
        </w:r>
      </w:hyperlink>
      <w:r>
        <w:rPr>
          <w:rFonts w:ascii="Times New Roman" w:hAnsi="Times New Roman"/>
          <w:b w:val="false"/>
          <w:i w:val="false"/>
          <w:color w:val="000000"/>
          <w:sz w:val="22"/>
        </w:rPr>
        <w:t xml:space="preserve">(423) that is received from the direct pay permit holder and retain records of all transactions engaged in with the permit holder in which tax was not collected, in compliance with rule </w:t>
      </w:r>
      <w:hyperlink r:id="rId14">
        <w:r>
          <w:rPr>
            <w:rStyle w:val="Hyperlink"/>
            <w:rFonts w:ascii="Times New Roman" w:hAnsi="Times New Roman"/>
            <w:b w:val="false"/>
            <w:i w:val="false"/>
            <w:color w:val="000000"/>
            <w:sz w:val="22"/>
          </w:rPr>
          <w:t>701—11.4</w:t>
        </w:r>
      </w:hyperlink>
      <w:r>
        <w:rPr>
          <w:rFonts w:ascii="Times New Roman" w:hAnsi="Times New Roman"/>
          <w:b w:val="false"/>
          <w:i w:val="false"/>
          <w:color w:val="000000"/>
          <w:sz w:val="22"/>
        </w:rPr>
        <w:t xml:space="preserve">(423). A vendor’s liability for uncollected tax is governed by the liability provisions of a seller under an exemption certificate set forth in rule </w:t>
      </w:r>
      <w:hyperlink r:id="rId15">
        <w:r>
          <w:rPr>
            <w:rStyle w:val="Hyperlink"/>
            <w:rFonts w:ascii="Times New Roman" w:hAnsi="Times New Roman"/>
            <w:b w:val="false"/>
            <w:i w:val="false"/>
            <w:color w:val="000000"/>
            <w:sz w:val="22"/>
          </w:rPr>
          <w:t>701—288.3</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202.6(2)</w:t>
      </w:r>
      <w:r>
        <w:rPr>
          <w:rFonts w:ascii="Times New Roman" w:hAnsi="Times New Roman"/>
          <w:b w:val="false"/>
          <w:i w:val="false"/>
          <w:color w:val="000000"/>
          <w:sz w:val="22"/>
        </w:rPr>
        <w:t> </w:t>
      </w:r>
      <w:r>
        <w:rPr>
          <w:rFonts w:ascii="Times New Roman" w:hAnsi="Times New Roman"/>
          <w:b w:val="false"/>
          <w:i/>
          <w:color w:val="000000"/>
          <w:sz w:val="22"/>
        </w:rPr>
        <w:t xml:space="preserve">Negotiated rate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Any person who has been issued or who has applied for a direct pay permit may request the department to enter into a negotiated rate agreement with the permit holder or applicant. These agreements are negotiated on a case-by-case basis and, if approved by the department, allow a direct pay permit holder to pay the state sales, local option sales, or use tax on a basis calculated by agreement between the direct pay permit holder and the department. Negotiated rate agreements are not applicable to sales and use taxes set out in paragraph </w:t>
      </w:r>
      <w:hyperlink r:id="rId16">
        <w:r>
          <w:rPr>
            <w:rStyle w:val="Hyperlink"/>
            <w:rFonts w:ascii="Times New Roman" w:hAnsi="Times New Roman"/>
            <w:b w:val="false"/>
            <w:i w:val="false"/>
            <w:color w:val="000000"/>
            <w:sz w:val="22"/>
          </w:rPr>
          <w:t>202.6(1)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no negotiated rate agreement is effective for any period during which a taxpayer who is a signatory to the agreement is not a direct pay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All negotiated rate agreements shall contain the following information or an explanation for its omission: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taxpayer who has entered into the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title of each person signing the agreement and the name, telephone or fax number, and email or physical address of at least one person to be contacted if questions regarding the agreement arise.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period during which the agreement is in effect, the renewal or extension rights (if any) of each party, and the effective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negotiated rate or rates, the classes of sales or uses to which each separate rate is applicable, any items that will be excluded from the agreement, and any circumstances that will result in a changed rate or rates or changed composition of classes to which rates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Actions or circumstances that render the agreement void, or voidable at the option of either party, and the time frame in which the agreement will be voided.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Rights, if any, of the parties to resort to mediation or arbitration.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explanation of the department’s right to audit aspects of the agreement, including any right to audit remaining after the agreement’s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conditions by which the agreement may be terminated and the effective date of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methodology used to determine the negotiated rate and any schedules needed to verify percentages.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Any other matter deemed necessary to the parties’ mutual understanding of the agreement.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co/chapter/423.31.pdf" Type="http://schemas.openxmlformats.org/officeDocument/2006/relationships/hyperlink" Id="rId5"/>
    <Relationship TargetMode="External" Target="https://www.legis.iowa.gov/docs/iac/rule/701.202.6.pdf" Type="http://schemas.openxmlformats.org/officeDocument/2006/relationships/hyperlink" Id="rId6"/>
    <Relationship TargetMode="External" Target="https://www.legis.iowa.gov/docs/ico/chapter/423.36.pdf" Type="http://schemas.openxmlformats.org/officeDocument/2006/relationships/hyperlink" Id="rId7"/>
    <Relationship TargetMode="External" Target="https://www.legis.iowa.gov/docs/iac/rule/701.288.3.pdf" Type="http://schemas.openxmlformats.org/officeDocument/2006/relationships/hyperlink" Id="rId8"/>
    <Relationship TargetMode="External" Target="https://www.legis.iowa.gov/docs/ico/chapter/423.35.pdf" Type="http://schemas.openxmlformats.org/officeDocument/2006/relationships/hyperlink" Id="rId9"/>
    <Relationship TargetMode="External" Target="https://www.legis.iowa.gov/docs/ico/chapter/421.27.pdf" Type="http://schemas.openxmlformats.org/officeDocument/2006/relationships/hyperlink" Id="rId10"/>
    <Relationship TargetMode="External" Target="https://www.legis.iowa.gov/docs/ico/chapter/423.36.pdf" Type="http://schemas.openxmlformats.org/officeDocument/2006/relationships/hyperlink" Id="rId11"/>
    <Relationship TargetMode="External" Target="https://www.legis.iowa.gov/docs/iac/rule/701.11.4.pdf" Type="http://schemas.openxmlformats.org/officeDocument/2006/relationships/hyperlink" Id="rId12"/>
    <Relationship TargetMode="External" Target="https://www.legis.iowa.gov/docs/iac/rule/701.288.3.pdf" Type="http://schemas.openxmlformats.org/officeDocument/2006/relationships/hyperlink" Id="rId13"/>
    <Relationship TargetMode="External" Target="https://www.legis.iowa.gov/docs/iac/rule/701.11.4.pdf" Type="http://schemas.openxmlformats.org/officeDocument/2006/relationships/hyperlink" Id="rId14"/>
    <Relationship TargetMode="External" Target="https://www.legis.iowa.gov/docs/iac/rule/701.288.3.pdf" Type="http://schemas.openxmlformats.org/officeDocument/2006/relationships/hyperlink" Id="rId15"/>
    <Relationship TargetMode="External" Target="https://www.legis.iowa.gov/docs/iac/rule/701.202.6.pdf" Type="http://schemas.openxmlformats.org/officeDocument/2006/relationships/hyperlink" Id="rId16"/>
    <Relationship TargetMode="External" Target="https://www.legis.iowa.gov/docs/ico/chapter/423.36.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