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701—11.7</w:t>
      </w:r>
      <w:r>
        <w:rPr>
          <w:rFonts w:ascii="Times New Roman" w:hAnsi="Times New Roman"/>
          <w:b/>
          <w:i w:val="false"/>
          <w:color w:val="000000"/>
          <w:sz w:val="22"/>
        </w:rPr>
        <w:t xml:space="preserve">(422,423) </w:t>
      </w:r>
      <w:r>
        <w:rPr>
          <w:rFonts w:ascii="Times New Roman" w:hAnsi="Times New Roman"/>
          <w:b/>
          <w:i w:val="false"/>
          <w:color w:val="000000"/>
          <w:sz w:val="22"/>
        </w:rPr>
        <w:t xml:space="preserve">Collections. </w:t>
      </w:r>
      <w:r>
        <w:rPr>
          <w:rFonts w:ascii="Times New Roman" w:hAnsi="Times New Roman"/>
          <w:b w:val="false"/>
          <w:i w:val="false"/>
          <w:color w:val="000000"/>
          <w:sz w:val="22"/>
        </w:rPr>
        <w:t>If the director determines it expedient or advisable, the director may enforce the collection of the tax liability which has been determined to be due. In the action, the attorney general shall appear for the department and have the assistance of the county attorney in the county in which the action is pending.</w:t>
      </w:r>
    </w:p>
    <w:p>
      <w:pPr>
        <w:spacing w:before="0" w:after="0"/>
        <w:ind w:left="120"/>
        <w:jc w:val="left"/>
      </w:pPr>
      <w:r>
        <w:rPr>
          <w:rFonts w:ascii="Times New Roman" w:hAnsi="Times New Roman"/>
          <w:b w:val="false"/>
          <w:i w:val="false"/>
          <w:color w:val="000000"/>
          <w:sz w:val="22"/>
        </w:rPr>
        <w:t>The remedies for the enforcement and collection of sales and use tax are cumulative, and action taken by the department or attorney general shall not be construed to be an election on the part of the state or any of its officers to pursue any remedy to the exclusion of any other remedy.</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422.56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423.17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6.pdf" Type="http://schemas.openxmlformats.org/officeDocument/2006/relationships/hyperlink" Id="rId4"/>
    <Relationship TargetMode="External" Target="https://www.legis.iowa.gov/docs/ico/chapter/422.56.pdf" Type="http://schemas.openxmlformats.org/officeDocument/2006/relationships/hyperlink" Id="rId5"/>
    <Relationship TargetMode="External" Target="https://www.legis.iowa.gov/docs/ico/chapter/423.1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