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701—11.10</w:t>
      </w:r>
      <w:r>
        <w:rPr>
          <w:rFonts w:ascii="Times New Roman" w:hAnsi="Times New Roman"/>
          <w:b/>
          <w:i w:val="false"/>
          <w:color w:val="000000"/>
          <w:sz w:val="22"/>
        </w:rPr>
        <w:t xml:space="preserve">(423)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the statutory authorization in Iowa Code section </w:t>
      </w:r>
      <w:hyperlink r:id="rId4">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the director has determined that the following procedures will be instituted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Classes of business. </w:t>
      </w:r>
      <w:r>
        <w:rPr>
          <w:rFonts w:ascii="Times New Roman" w:hAnsi="Times New Roman"/>
          <w:b w:val="false"/>
          <w:i w:val="false"/>
          <w:color w:val="000000"/>
          <w:sz w:val="22"/>
        </w:rPr>
        <w:t>When the director determines, based on departmental records, other state or federal agency statistics or current economic conditions, that certain segments of the business community are experiencing above average financial failures such that the collection of the tax might be jeopardized, a bond or security may be required from every retailer operating a business within this class unless it is shown to the director’s satisfaction that a particular retailer within a designated class is solvent and that the retailer previously timely remitted the tax. If the director selects certain classes of business for posting a bond or security, rule making will be initiated to reflect a listing of the classes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sales tax permits. </w:t>
      </w:r>
      <w:r>
        <w:rPr>
          <w:rFonts w:ascii="Times New Roman" w:hAnsi="Times New Roman"/>
          <w:b w:val="false"/>
          <w:i w:val="false"/>
          <w:color w:val="000000"/>
          <w:sz w:val="22"/>
        </w:rPr>
        <w:t xml:space="preserve">Notwithstanding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an applicant for a new sales tax permit may be required to post a bond or security if (1) it is determined upon a complete investigation of the applicant’s financial status that the applicant would be unable to timely remit the tax, or (2) the new applicant held a permit for a prior business and the remittance record of the tax under the prior permit falls within one of the conditions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or (3) the department experienced collection problems while the applicant was engaged in business under the prior permit, or (4) the applicant is substantially similar to a person who would have been required to post a bond under the guidelines as set forth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or the person had a previous sales tax permit which has been revoked. The applicant is “substantially similar” to the extent that said applicant is owned or controlled by persons who owned or controlled the previous permit holder. For example, X, a corporation, had a previous sales tax permit revoked. X is dissolved and its shareholders create a new corporation, Y, which applies for a sales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permit holders. </w:t>
      </w:r>
      <w:r>
        <w:rPr>
          <w:rFonts w:ascii="Times New Roman" w:hAnsi="Times New Roman"/>
          <w:b w:val="false"/>
          <w:i w:val="false"/>
          <w:color w:val="000000"/>
          <w:sz w:val="22"/>
        </w:rPr>
        <w:t>Existing permit holders may be required to post a bond or security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they have had one or more delinquencies in remitting the sales tax or filing timely returns during the last 24 months if filing returns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they have had two or more delinquencies in remitting the sales tax or filing timely returns during the last 24 months if filing returns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they have had four or more delinquencies in remitting the sales tax or filing timely deposits or returns during the last 24 months if filing returns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they have had eight or more delinquencies during the last 24 months if filing returns on a semimonthly basis.</w:t>
      </w:r>
    </w:p>
    <w:p>
      <w:pPr>
        <w:spacing w:before="0" w:after="0"/>
        <w:ind w:left="120"/>
        <w:jc w:val="both"/>
      </w:pPr>
      <w:r>
        <w:rPr>
          <w:rFonts w:ascii="Times New Roman" w:hAnsi="Times New Roman"/>
          <w:b w:val="false"/>
          <w:i w:val="false"/>
          <w:color w:val="000000"/>
          <w:sz w:val="22"/>
        </w:rPr>
        <w:t xml:space="preserve">The simultaneous late filing of the return and the late payment of the tax will count as one delinquency. See rule </w:t>
      </w:r>
      <w:hyperlink r:id="rId5">
        <w:r>
          <w:rPr>
            <w:rStyle w:val="Hyperlink"/>
            <w:rFonts w:ascii="Times New Roman" w:hAnsi="Times New Roman"/>
            <w:b w:val="false"/>
            <w:i w:val="false"/>
            <w:color w:val="000000"/>
            <w:sz w:val="22"/>
          </w:rPr>
          <w:t>701—13.7</w:t>
        </w:r>
      </w:hyperlink>
      <w:r>
        <w:rPr>
          <w:rFonts w:ascii="Times New Roman" w:hAnsi="Times New Roman"/>
          <w:b w:val="false"/>
          <w:i w:val="false"/>
          <w:color w:val="000000"/>
          <w:sz w:val="22"/>
        </w:rPr>
        <w:t xml:space="preserve">(422). However, the late filing of the return or the late payment of the tax will not count as a delinquency if the permit holder can satisfy one of the conditions set forth in Iowa Code section </w:t>
      </w:r>
      <w:hyperlink r:id="rId6">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Return of bond. </w:t>
      </w:r>
      <w:r>
        <w:rPr>
          <w:rFonts w:ascii="Times New Roman" w:hAnsi="Times New Roman"/>
          <w:b w:val="false"/>
          <w:i w:val="false"/>
          <w:color w:val="000000"/>
          <w:sz w:val="22"/>
        </w:rPr>
        <w:t>If a permit holder has been required to post a bond or security or if an applicant for a permit has been required to post a bond or security, upon the filing of the bond or security if the permit holder maintains a good filing record for a period of two years, the permit holder may request that the department return the bond or security. The department may elect to return the bond without a request from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Applying bond. </w:t>
      </w:r>
      <w:r>
        <w:rPr>
          <w:rFonts w:ascii="Times New Roman" w:hAnsi="Times New Roman"/>
          <w:b w:val="false"/>
          <w:i w:val="false"/>
          <w:color w:val="000000"/>
          <w:sz w:val="22"/>
        </w:rPr>
        <w:t>The department may apply a bond to any existing tax liability of the permit holder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permit holder or applicant for a sales tax permit is required to post collateral to secure the collection of the sales tax, the following types of collateral will be considered as sufficient: cash, surety bonds, securities or certificates of deposit. “Cash” means guaranteed funds including, but not limited to, the following: (1) cashier’s check, (2) money order or (3) certified check. If cash is posted as a bond, the bond will not be considered filed until the final payment is made, if paid in installments. A certificate of deposit must have a maturity date of 24 months from the date of assignment to the department. An acknowledgement of assignment from the bank must accompany the original certificate of deposit filed with the department. When a permit holder elects to post cash rather than a certificate of deposit as a bond, conversion to certificate of deposit will not be allowed. When the permit holder is a corporation, an officer of the corporation may assume personal liability as security for the payment of the sales tax. The officer will be evaluated as provided in subrule </w:t>
      </w:r>
      <w:hyperlink r:id="rId7">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xml:space="preserve"> as if the officer applied for a sales tax permit as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Amount of bond or security. </w:t>
      </w:r>
      <w:r>
        <w:rPr>
          <w:rFonts w:ascii="Times New Roman" w:hAnsi="Times New Roman"/>
          <w:b w:val="false"/>
          <w:i w:val="false"/>
          <w:color w:val="000000"/>
          <w:sz w:val="22"/>
        </w:rPr>
        <w:t>When it is determined that a permit holder or applicant for a sales tax permit is required to post a bond or securities, the following guidelines will be used to determine the amount of the bond, unless the facts warrant a greater amount: If the permit holder or applicant will be or is a semimonthly depositor, a bond or securities in an amount sufficient to cover three months’ sales tax liability will be required. If the permit holder or applicant will be or is a monthly depositor, a bond or securities in an amount sufficient to cover five months’ sales tax liability will be required. If the applicant or permit holder will be or is a quarterly filer, the bond or securities which will be required is an amount sufficient to cover nine months or three quarters of tax liability. If the applicant or permit holder will be or is an annual filer, the bond or securities which will be required would be in the amount of one year’s tax liability. The department does not accept bonds for less than $100. If the bond amount is calculated to be less than $100, a $100 bond is required.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35.pdf" Type="http://schemas.openxmlformats.org/officeDocument/2006/relationships/hyperlink" Id="rId4"/>
    <Relationship TargetMode="External" Target="https://www.legis.iowa.gov/docs/iac/rule/701.13.7.pdf" Type="http://schemas.openxmlformats.org/officeDocument/2006/relationships/hyperlink" Id="rId5"/>
    <Relationship TargetMode="External" Target="https://www.legis.iowa.gov/docs/ico/chapter/421.27.pdf" Type="http://schemas.openxmlformats.org/officeDocument/2006/relationships/hyperlink" Id="rId6"/>
    <Relationship TargetMode="External" Target="https://www.legis.iowa.gov/docs/iac/rule/701.11.10.pdf" Type="http://schemas.openxmlformats.org/officeDocument/2006/relationships/hyperlink" Id="rId7"/>
    <Relationship TargetMode="External" Target="https://www.legis.iowa.gov/docs/ico/chapter/423.3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