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701—10.8</w:t>
      </w:r>
      <w:r>
        <w:rPr>
          <w:rFonts w:ascii="Times New Roman" w:hAnsi="Times New Roman"/>
          <w:b/>
          <w:i w:val="false"/>
          <w:color w:val="000000"/>
          <w:sz w:val="22"/>
        </w:rPr>
        <w:t xml:space="preserve">(421) </w:t>
      </w:r>
      <w:r>
        <w:rPr>
          <w:rFonts w:ascii="Times New Roman" w:hAnsi="Times New Roman"/>
          <w:b/>
          <w:i w:val="false"/>
          <w:color w:val="000000"/>
          <w:sz w:val="22"/>
        </w:rPr>
        <w:t xml:space="preserve">Tax return extension in disaster areas. </w:t>
      </w:r>
      <w:r>
        <w:rPr>
          <w:rFonts w:ascii="Times New Roman" w:hAnsi="Times New Roman"/>
          <w:b w:val="false"/>
          <w:i w:val="false"/>
          <w:color w:val="000000"/>
          <w:sz w:val="22"/>
        </w:rPr>
        <w:t>If a natural disaster is declared by the governor in any area of the state, the director may extend for a period of up to one year the due date for the filing of any tax return and may suspend any associated penalty or interest that would accrue during that period of time for any affected taxpayer whose principal residence or business is located in the covered area, if the director determines it necessary for the efficient administration of the tax laws of this state. The director will notify the public of any possible extensions of tax filings as well as possible suspensions of penalty and interest. Notification will be made through different means available to the director including but not limited to press releases, media information, and the department’s website. Persons eligible for extension shall complete any application or form if required by the department and satisfy any requirements or conditions for the extension.</w:t>
      </w:r>
    </w:p>
    <w:p>
      <w:pPr>
        <w:spacing w:before="0" w:after="0"/>
        <w:ind w:left="120"/>
        <w:jc w:val="left"/>
      </w:pPr>
      <w:r>
        <w:rPr>
          <w:rFonts w:ascii="Times New Roman" w:hAnsi="Times New Roman"/>
          <w:b w:val="false"/>
          <w:i w:val="false"/>
          <w:color w:val="000000"/>
          <w:sz w:val="22"/>
        </w:rPr>
        <w:t xml:space="preserve">This rule is intended to implement Iowa Code section </w:t>
      </w:r>
      <w:hyperlink r:id="rId4">
        <w:r>
          <w:rPr>
            <w:rStyle w:val="Hyperlink"/>
            <w:rFonts w:ascii="Times New Roman" w:hAnsi="Times New Roman"/>
            <w:b w:val="false"/>
            <w:i w:val="false"/>
            <w:color w:val="000000"/>
            <w:sz w:val="22"/>
          </w:rPr>
          <w:t>421.17(30)</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6583C</w:t>
      </w:r>
      <w:r>
        <w:rPr>
          <w:rFonts w:ascii="Times New Roman" w:hAnsi="Times New Roman"/>
          <w:b w:val="false"/>
          <w:i w:val="false"/>
          <w:color w:val="000000"/>
          <w:sz w:val="16"/>
        </w:rPr>
        <w:t>, IAB 10/5/22, effective 11/9/22</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421.17.pdf" Type="http://schemas.openxmlformats.org/officeDocument/2006/relationships/hyperlink"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