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701—10.72</w:t>
      </w:r>
      <w:r>
        <w:rPr>
          <w:rFonts w:ascii="Times New Roman" w:hAnsi="Times New Roman"/>
          <w:b/>
          <w:i w:val="false"/>
          <w:color w:val="000000"/>
          <w:sz w:val="22"/>
        </w:rPr>
        <w:t xml:space="preserve">(452A) </w:t>
      </w:r>
      <w:r>
        <w:rPr>
          <w:rFonts w:ascii="Times New Roman" w:hAnsi="Times New Roman"/>
          <w:b/>
          <w:i w:val="false"/>
          <w:color w:val="000000"/>
          <w:sz w:val="22"/>
        </w:rPr>
        <w:t xml:space="preserve">Interest. </w:t>
      </w:r>
      <w:r>
        <w:rPr>
          <w:rFonts w:ascii="Times New Roman" w:hAnsi="Times New Roman"/>
          <w:b w:val="false"/>
          <w:i w:val="false"/>
          <w:color w:val="000000"/>
          <w:sz w:val="22"/>
        </w:rPr>
        <w:t xml:space="preserve">Interest, based on the tax due, shall be assessed against the taxpayer for each month such tax remains unpaid. The interest shall accrue from the date the return was required to be filed. Each fraction of a month shall be considered a full month for the computation of interest. See rule </w:t>
      </w:r>
      <w:hyperlink r:id="rId4">
        <w:r>
          <w:rPr>
            <w:rStyle w:val="Hyperlink"/>
            <w:rFonts w:ascii="Times New Roman" w:hAnsi="Times New Roman"/>
            <w:b w:val="false"/>
            <w:i w:val="false"/>
            <w:color w:val="000000"/>
            <w:sz w:val="22"/>
          </w:rPr>
          <w:t>701—10.2</w:t>
        </w:r>
      </w:hyperlink>
      <w:r>
        <w:rPr>
          <w:rFonts w:ascii="Times New Roman" w:hAnsi="Times New Roman"/>
          <w:b w:val="false"/>
          <w:i w:val="false"/>
          <w:color w:val="000000"/>
          <w:sz w:val="22"/>
        </w:rPr>
        <w:t>(421) for the statutory interest rate commencing on or after January 1, 1982.</w:t>
      </w:r>
    </w:p>
    <w:p>
      <w:pPr>
        <w:spacing w:before="0" w:after="0"/>
        <w:ind w:left="120"/>
        <w:jc w:val="left"/>
      </w:pPr>
      <w:r>
        <w:rPr>
          <w:rFonts w:ascii="Times New Roman" w:hAnsi="Times New Roman"/>
          <w:b w:val="false"/>
          <w:i w:val="false"/>
          <w:color w:val="000000"/>
          <w:sz w:val="22"/>
        </w:rPr>
        <w:t xml:space="preserve">Refunds on reports or returns filed on or after July 1, 1997, will accrue interest beginning on the first day of the second calendar month following the date of payment or the date the return was filed or due to be filed, whichever is later, at the rate in effect under Iowa Code section </w:t>
      </w:r>
      <w:hyperlink r:id="rId5">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 xml:space="preserve">, counting each fraction of a month as an entire month. Claims for refund filed under Iowa Code sections </w:t>
      </w:r>
      <w:hyperlink r:id="rId6">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452A.21</w:t>
        </w:r>
      </w:hyperlink>
      <w:r>
        <w:rPr>
          <w:rFonts w:ascii="Times New Roman" w:hAnsi="Times New Roman"/>
          <w:b w:val="false"/>
          <w:i w:val="false"/>
          <w:color w:val="000000"/>
          <w:sz w:val="22"/>
        </w:rPr>
        <w:t xml:space="preserve"> will accrue interest beginning with the first day of the second calendar month following the date the refund claim is received by the department. See rule </w:t>
      </w:r>
      <w:hyperlink r:id="rId8">
        <w:r>
          <w:rPr>
            <w:rStyle w:val="Hyperlink"/>
            <w:rFonts w:ascii="Times New Roman" w:hAnsi="Times New Roman"/>
            <w:b w:val="false"/>
            <w:i w:val="false"/>
            <w:color w:val="000000"/>
            <w:sz w:val="22"/>
          </w:rPr>
          <w:t>701—10.3</w:t>
        </w:r>
      </w:hyperlink>
      <w:r>
        <w:rPr>
          <w:rFonts w:ascii="Times New Roman" w:hAnsi="Times New Roman"/>
          <w:b w:val="false"/>
          <w:i w:val="false"/>
          <w:color w:val="000000"/>
          <w:sz w:val="22"/>
        </w:rPr>
        <w:t>(422,450,452A).</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452A.65</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10.2.pdf" Type="http://schemas.openxmlformats.org/officeDocument/2006/relationships/hyperlink" Id="rId4"/>
    <Relationship TargetMode="External" Target="https://www.legis.iowa.gov/docs/ico/chapter/421.7.pdf" Type="http://schemas.openxmlformats.org/officeDocument/2006/relationships/hyperlink" Id="rId5"/>
    <Relationship TargetMode="External" Target="https://www.legis.iowa.gov/docs/ico/chapter/452A.17.pdf" Type="http://schemas.openxmlformats.org/officeDocument/2006/relationships/hyperlink" Id="rId6"/>
    <Relationship TargetMode="External" Target="https://www.legis.iowa.gov/docs/ico/chapter/452A.21.pdf" Type="http://schemas.openxmlformats.org/officeDocument/2006/relationships/hyperlink" Id="rId7"/>
    <Relationship TargetMode="External" Target="https://www.legis.iowa.gov/docs/iac/rule/701.10.3.pdf" Type="http://schemas.openxmlformats.org/officeDocument/2006/relationships/hyperlink" Id="rId8"/>
    <Relationship TargetMode="External" Target="https://www.legis.iowa.gov/docs/ico/chapter/452A.65.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