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701—10.123</w:t>
      </w:r>
      <w:r>
        <w:rPr>
          <w:rFonts w:ascii="Times New Roman" w:hAnsi="Times New Roman"/>
          <w:b/>
          <w:i w:val="false"/>
          <w:color w:val="000000"/>
          <w:sz w:val="22"/>
        </w:rPr>
        <w:t xml:space="preserve">(422,453B) </w:t>
      </w:r>
      <w:r>
        <w:rPr>
          <w:rFonts w:ascii="Times New Roman" w:hAnsi="Times New Roman"/>
          <w:b/>
          <w:i w:val="false"/>
          <w:color w:val="000000"/>
          <w:sz w:val="22"/>
        </w:rPr>
        <w:t xml:space="preserve">Type of bond. </w:t>
      </w:r>
      <w:r>
        <w:rPr>
          <w:rFonts w:ascii="Times New Roman" w:hAnsi="Times New Roman"/>
          <w:b w:val="false"/>
          <w:i w:val="false"/>
          <w:color w:val="000000"/>
          <w:sz w:val="22"/>
        </w:rPr>
        <w:t>The bond shall be payable to the department for the use of the state of Iowa and shall be conditioned upon the full payment of the tax, penalty, interest, or fees that are found to be due which remain unpaid upon the resolution of the contested case proceedings up to the amount of the bond. Upon application of the taxpayer or the department, the director may, upon hearing, fix a greater or lesser amount to reflect changed circumstances, but only after ten days’ prior notice is given to the department or the taxpayer as the case may be.</w:t>
      </w:r>
    </w:p>
    <w:p>
      <w:pPr>
        <w:spacing w:before="0" w:after="0"/>
        <w:ind w:left="120"/>
        <w:jc w:val="left"/>
      </w:pPr>
      <w:r>
        <w:rPr>
          <w:rFonts w:ascii="Times New Roman" w:hAnsi="Times New Roman"/>
          <w:b w:val="false"/>
          <w:i w:val="false"/>
          <w:color w:val="000000"/>
          <w:sz w:val="22"/>
        </w:rPr>
        <w:t xml:space="preserve">A personal bond, without a surety, is only permitted if the taxpayer posts with the clerk of the hearings section for the department, cash, a cashier’s check, a certificate of deposit, or other marketable securities which are approved by the director with a readily ascertainable value which is equal in value to the total amount of the bond required. If a surety bond is posted, the surety on the bond may be either personal or corporate. The provisions of Iowa Code chapter </w:t>
      </w:r>
      <w:hyperlink r:id="rId4">
        <w:r>
          <w:rPr>
            <w:rStyle w:val="Hyperlink"/>
            <w:rFonts w:ascii="Times New Roman" w:hAnsi="Times New Roman"/>
            <w:b w:val="false"/>
            <w:i w:val="false"/>
            <w:color w:val="000000"/>
            <w:sz w:val="22"/>
          </w:rPr>
          <w:t>636</w:t>
        </w:r>
      </w:hyperlink>
      <w:r>
        <w:rPr>
          <w:rFonts w:ascii="Times New Roman" w:hAnsi="Times New Roman"/>
          <w:b w:val="false"/>
          <w:i w:val="false"/>
          <w:color w:val="000000"/>
          <w:sz w:val="22"/>
        </w:rPr>
        <w:t xml:space="preserve"> relating to personal and corporate sureties shall govern to the extent not inconsistent with the provisions of this subrule.</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6">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36.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422.30.pdf" Type="http://schemas.openxmlformats.org/officeDocument/2006/relationships/hyperlink" Id="rId6"/>
    <Relationship TargetMode="External" Target="https://www.legis.iowa.gov/docs/ico/chapter/453B.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