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701—10.121</w:t>
      </w:r>
      <w:r>
        <w:rPr>
          <w:rFonts w:ascii="Times New Roman" w:hAnsi="Times New Roman"/>
          <w:b/>
          <w:i w:val="false"/>
          <w:color w:val="000000"/>
          <w:sz w:val="22"/>
        </w:rPr>
        <w:t xml:space="preserve">(422,453B) </w:t>
      </w:r>
      <w:r>
        <w:rPr>
          <w:rFonts w:ascii="Times New Roman" w:hAnsi="Times New Roman"/>
          <w:b/>
          <w:i w:val="false"/>
          <w:color w:val="000000"/>
          <w:sz w:val="22"/>
        </w:rPr>
        <w:t xml:space="preserve">Order. </w:t>
      </w:r>
      <w:r>
        <w:rPr>
          <w:rFonts w:ascii="Times New Roman" w:hAnsi="Times New Roman"/>
          <w:b w:val="false"/>
          <w:i w:val="false"/>
          <w:color w:val="000000"/>
          <w:sz w:val="22"/>
        </w:rPr>
        <w:t>The director’s order shall be in writing and shall include findings of fact based solely on the evidence in the record and on matters officially noticed in the record and shall include conclusions of law. The findings of fact and conclusions of law shall be separately stated. Findings of fact shall be prefaced by a concise and explicit statement of underlying facts supporting the findings. Each conclusion of law shall be supported by cited authority or by a reasoned opinion.</w:t>
      </w:r>
    </w:p>
    <w:p>
      <w:pPr>
        <w:spacing w:before="0" w:after="0"/>
        <w:ind w:left="120"/>
        <w:jc w:val="left"/>
      </w:pPr>
      <w:r>
        <w:rPr>
          <w:rFonts w:ascii="Times New Roman" w:hAnsi="Times New Roman"/>
          <w:b w:val="false"/>
          <w:i w:val="false"/>
          <w:color w:val="000000"/>
          <w:sz w:val="22"/>
        </w:rPr>
        <w:t>Orders will be issued within a reasonable time after termination of the hearing. Parties shall be promptly notified of each order by delivery to them of a copy of the order by personal service or by ordinary mail.</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and sections </w:t>
      </w:r>
      <w:hyperlink r:id="rId5">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453B.9</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422.30.pdf" Type="http://schemas.openxmlformats.org/officeDocument/2006/relationships/hyperlink" Id="rId5"/>
    <Relationship TargetMode="External" Target="https://www.legis.iowa.gov/docs/ico/chapter/453B.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