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701—10.120</w:t>
      </w:r>
      <w:r>
        <w:rPr>
          <w:rFonts w:ascii="Times New Roman" w:hAnsi="Times New Roman"/>
          <w:b/>
          <w:i w:val="false"/>
          <w:color w:val="000000"/>
          <w:sz w:val="22"/>
        </w:rPr>
        <w:t xml:space="preserve">(422,453B) </w:t>
      </w:r>
      <w:r>
        <w:rPr>
          <w:rFonts w:ascii="Times New Roman" w:hAnsi="Times New Roman"/>
          <w:b/>
          <w:i w:val="false"/>
          <w:color w:val="000000"/>
          <w:sz w:val="22"/>
        </w:rPr>
        <w:t xml:space="preserve">Posting of bond. </w:t>
      </w:r>
      <w:r>
        <w:rPr>
          <w:rFonts w:ascii="Times New Roman" w:hAnsi="Times New Roman"/>
          <w:b w:val="false"/>
          <w:i w:val="false"/>
          <w:color w:val="000000"/>
          <w:sz w:val="22"/>
        </w:rPr>
        <w:t>If the taxpayer fails to post the bond as agreed upon within 15 days from the date the bond is approved by the clerk of the hearings section for the department, no bond will be allowed and the director shall dismiss the bond request. If no agreement was reached and a bond order is issued by the director, the taxpayer has ten days to post the bond. If the bond is not posted within the ten-day period, the director shall dismiss the bond request.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5">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22.30.pdf" Type="http://schemas.openxmlformats.org/officeDocument/2006/relationships/hyperlink" Id="rId5"/>
    <Relationship TargetMode="External" Target="https://www.legis.iowa.gov/docs/ico/chapter/453B.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