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701—10.118</w:t>
      </w:r>
      <w:r>
        <w:rPr>
          <w:rFonts w:ascii="Times New Roman" w:hAnsi="Times New Roman"/>
          <w:b/>
          <w:i w:val="false"/>
          <w:color w:val="000000"/>
          <w:sz w:val="22"/>
        </w:rPr>
        <w:t xml:space="preserve">(422,453B) </w:t>
      </w:r>
      <w:r>
        <w:rPr>
          <w:rFonts w:ascii="Times New Roman" w:hAnsi="Times New Roman"/>
          <w:b/>
          <w:i w:val="false"/>
          <w:color w:val="000000"/>
          <w:sz w:val="22"/>
        </w:rPr>
        <w:t xml:space="preserve">Time limits. </w:t>
      </w:r>
      <w:r>
        <w:rPr>
          <w:rFonts w:ascii="Times New Roman" w:hAnsi="Times New Roman"/>
          <w:b w:val="false"/>
          <w:i w:val="false"/>
          <w:color w:val="000000"/>
          <w:sz w:val="22"/>
        </w:rPr>
        <w:t>Bond requests may be made anytime after a timely protest to the jeopardy assessment has been filed with the clerk of the hearings section for the department, except that any bond request whereby the taxpayer seeks to postpone a scheduled sale of assets seized by or on behalf of the department must be filed with the clerk of the hearings section for the department no later than ten days from the date on which notice of the sale was mailed to, or otherwise served upon, the taxpayer. Portions of an assessment which are undisputed must be paid in full at the time a bond request is filed.</w:t>
      </w:r>
    </w:p>
    <w:p>
      <w:pPr>
        <w:spacing w:before="0" w:after="0"/>
        <w:ind w:left="120"/>
        <w:jc w:val="left"/>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sections </w:t>
      </w:r>
      <w:hyperlink r:id="rId5">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453B.9</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Mode="External" Target="https://www.legis.iowa.gov/docs/ico/chapter/422.30.pdf" Type="http://schemas.openxmlformats.org/officeDocument/2006/relationships/hyperlink" Id="rId5"/>
    <Relationship TargetMode="External" Target="https://www.legis.iowa.gov/docs/ico/chapter/453B.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