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701—10.117</w:t>
      </w:r>
      <w:r>
        <w:rPr>
          <w:rFonts w:ascii="Times New Roman" w:hAnsi="Times New Roman"/>
          <w:b/>
          <w:i w:val="false"/>
          <w:color w:val="000000"/>
          <w:sz w:val="22"/>
        </w:rPr>
        <w:t xml:space="preserve">(422,453B) </w:t>
      </w:r>
      <w:r>
        <w:rPr>
          <w:rFonts w:ascii="Times New Roman" w:hAnsi="Times New Roman"/>
          <w:b/>
          <w:i w:val="false"/>
          <w:color w:val="000000"/>
          <w:sz w:val="22"/>
        </w:rPr>
        <w:t xml:space="preserve">Procedure for posting bond. </w:t>
      </w:r>
      <w:r>
        <w:rPr>
          <w:rFonts w:ascii="Times New Roman" w:hAnsi="Times New Roman"/>
          <w:b w:val="false"/>
          <w:i w:val="false"/>
          <w:color w:val="000000"/>
          <w:sz w:val="22"/>
        </w:rPr>
        <w:t>In the event a taxpayer seeks to post a bond in lieu of summary collection of a jeopardy assessment, pending final determination of the amount of tax legally due, an original and four copies of a separate written bond application conspicuously titled “Jeopardy Assessment Bond Request” must be filed with the clerk of the hearings section for the department. Thereafter, if the taxpayer and the department agree on an appropriate bond, the clerk of the hearings section for the department shall be notified and the bond shall be approved by the clerk of the hearings section for the department.</w:t>
      </w:r>
    </w:p>
    <w:p>
      <w:pPr>
        <w:spacing w:before="0" w:after="0"/>
        <w:ind w:left="120"/>
        <w:jc w:val="left"/>
      </w:pPr>
      <w:r>
        <w:rPr>
          <w:rFonts w:ascii="Times New Roman" w:hAnsi="Times New Roman"/>
          <w:b w:val="false"/>
          <w:i w:val="false"/>
          <w:color w:val="000000"/>
          <w:sz w:val="22"/>
        </w:rPr>
        <w:t>If the clerk of the hearings section for the department has not been notified that an agreement on the bond has been reached within ten days after the date upon which the bond request was filed, the clerk of the hearings section for the department shall transfer the file to the director who shall promptly schedule a hearing on the bond request with written notice to be given the taxpayer and the department at least ten days prior to the hearing.</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sections </w:t>
      </w:r>
      <w:hyperlink r:id="rId5">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422.30.pdf" Type="http://schemas.openxmlformats.org/officeDocument/2006/relationships/hyperlink" Id="rId5"/>
    <Relationship TargetMode="External" Target="https://www.legis.iowa.gov/docs/ico/chapter/453B.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