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 rules contained herein,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means all taxes and charges arising under Title X of the Iowa Code, which include but are not limited to individual income, withholding, corporate income, franchise, sales, use, hotel/motel, railroad fuel, equipment car, replacement tax, statewide property tax, motor vehicle fuel, and inheritance taxes and the environmental protection charge imposed upon petroleum diminution due and payable to the state of Iowa.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