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661—235.8</w:t>
      </w:r>
      <w:r>
        <w:rPr>
          <w:rFonts w:ascii="Times New Roman" w:hAnsi="Times New Roman"/>
          <w:b/>
          <w:i w:val="false"/>
          <w:color w:val="000000"/>
          <w:sz w:val="22"/>
        </w:rPr>
        <w:t xml:space="preserve">(101A)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or blaster, failure of a licensed contractor or blaster to meet any of the requirements established in Iowa Code chapter </w:t>
      </w:r>
      <w:hyperlink r:id="rId4">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 or any other provision of law, or operation as a commercial explosive contractor or commercial blaster without licensure may be filed with the department. Complaints should be as specific as possible and clearly identify the contractor or blaster against whom the complaint is filed. Complaints should be submitted in writing to the department as indicated on the department’s website. A complaint may be submitted anonymously, but if the name and contact information of the complainant are provided, the complainant may be notified of the disposition of the complaint.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1A.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