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661—235.6</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“issuing jurisdiction” 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law, a commercial explosive contractor license or commercial blaster license will be issued without an examination to a person who establishes residency in this state or to a person who is married to an active duty member of the military forces of the United States and who is accompanying the member on an official permanent change of station to a military installation located in this state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by at least one other issuing jurisdiction as a commercial explosive contractor or commercial blaster with a substantially similar scope of practice and the license is in good standing in all issuing jurisdictions in which the person holds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issuing jurisdiction, the issuing jurisdiction imposed minimum educational requirements and, if applicable, work experience, and the issuing jurisdiction verifies that the person met those requirements in order to be licensed in that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examination required by the other issuing jurisdiction for licensure,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revoked and has not voluntarily surrendered a license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department shall determine if the cause for the action was corrected and the matter resolved. If the department determines that the matter has not been resolved by the jurisdiction imposing discipline, the department shall not issue or deny a license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department shall not issue or deny a license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pays all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commercial explosive contractor license or commercial blaster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235.6(3)</w:t>
      </w:r>
      <w:r>
        <w:rPr>
          <w:rFonts w:ascii="Times New Roman" w:hAnsi="Times New Roman"/>
          <w:b w:val="false"/>
          <w:i w:val="false"/>
          <w:color w:val="000000"/>
          <w:sz w:val="22"/>
        </w:rPr>
        <w:t> </w:t>
      </w:r>
      <w:r>
        <w:rPr>
          <w:rFonts w:ascii="Times New Roman" w:hAnsi="Times New Roman"/>
          <w:b w:val="false"/>
          <w:i w:val="false"/>
          <w:color w:val="000000"/>
          <w:sz w:val="22"/>
        </w:rPr>
        <w:t>A person licensed pursuant to this rule is subject to the laws regulating the person’s practice in this state and is subject to the jurisdiction of the department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235.6(4)</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ability of the department to require the submission of fingerprints or completion of a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ability of the department to require a person to take and pass an examination specific to the laws of this state prior to issuing a license. If the department requires an applicant to take and pass an examination specific to the laws of this state, the department will issue an applicant a temporary license that is valid for a period of three months and may be renewed once for an additional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
        <w:r>
          <w:rPr>
            <w:rStyle w:val="Hyperlink"/>
            <w:rFonts w:ascii="Times New Roman" w:hAnsi="Times New Roman"/>
            <w:b w:val="false"/>
            <w:i w:val="false"/>
            <w:color w:val="000000"/>
            <w:sz w:val="22"/>
          </w:rPr>
          <w:t>subrule 235.7(2)</w:t>
        </w:r>
      </w:hyperlink>
      <w:r>
        <w:rPr>
          <w:rFonts w:ascii="Times New Roman" w:hAnsi="Times New Roman"/>
          <w:b w:val="false"/>
          <w:i w:val="false"/>
          <w:color w:val="000000"/>
          <w:sz w:val="22"/>
        </w:rPr>
        <w:t>, a person applying for a license in this state who relocates to this state from another state that did not require a license to practice as a commercial explosive contractor or commercial blaster may be considered to have met any education, training, or work experience requirements imposed by the department in this state if the person has three or more years of related work experience with a substantially similar scope of practice within the four years preceding the date of application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235.6(6)</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license in this state under the requirements of this subrule shall submit the request in writing to the department providing proof of residency in this state and documentation to verify all conditions are met under this subrule.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235.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