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661—235.5</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a commercial explosive blaster license. </w:t>
      </w:r>
      <w:r>
        <w:rPr>
          <w:rFonts w:ascii="Times New Roman" w:hAnsi="Times New Roman"/>
          <w:b w:val="false"/>
          <w:i w:val="false"/>
          <w:color w:val="000000"/>
          <w:sz w:val="22"/>
        </w:rPr>
        <w:t>A commercial explosive blaster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235.5(1)</w:t>
      </w:r>
      <w:r>
        <w:rPr>
          <w:rFonts w:ascii="Times New Roman" w:hAnsi="Times New Roman"/>
          <w:b w:val="false"/>
          <w:i w:val="false"/>
          <w:color w:val="000000"/>
          <w:sz w:val="22"/>
        </w:rPr>
        <w:t> </w:t>
      </w:r>
      <w:r>
        <w:rPr>
          <w:rFonts w:ascii="Times New Roman" w:hAnsi="Times New Roman"/>
          <w:b w:val="false"/>
          <w:i w:val="false"/>
          <w:color w:val="000000"/>
          <w:sz w:val="22"/>
        </w:rPr>
        <w:t>The applicant is an employee of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after a commercial explosive blaster license is issued, such employment ceases, the employing contractor and the commercial explosive blaster shall each notify the department within three business days of the final day of employment that the employment has ceased, and the commercial explosive blaster license shall be suspended until the commercial explosive blaster is again employed with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reemployment, the employer shall notify the department that the commercial explosive blaster is again employed with a licensed commercial explosive contractor, and the department will reinstate the commercial explosive blaster license as soon as practical, provided that the commercial explosive blaster is not disqualified from holding a license pursuant to any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 commercial explosive blaster is disqualified from holding a license, the department shall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235.5(2)</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verified and found to be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235.5(3)</w:t>
      </w:r>
      <w:r>
        <w:rPr>
          <w:rFonts w:ascii="Times New Roman" w:hAnsi="Times New Roman"/>
          <w:b w:val="false"/>
          <w:i w:val="false"/>
          <w:color w:val="000000"/>
          <w:sz w:val="22"/>
        </w:rPr>
        <w:t> </w:t>
      </w:r>
      <w:r>
        <w:rPr>
          <w:rFonts w:ascii="Times New Roman" w:hAnsi="Times New Roman"/>
          <w:b w:val="false"/>
          <w:i w:val="false"/>
          <w:color w:val="000000"/>
          <w:sz w:val="22"/>
        </w:rPr>
        <w:t>The applicant is not or has not been: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unlawful user of or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Adjudged mentally incompetent at any time by any court or committed by any court to any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recipient of inpatient treatment for any mental illness in the past three years or a recipient of treatment by a health care professional for a serious mental illness or disorder that impairs a person’s capacity to function normally and safely toward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235.5(4)</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satisfactorily completed training approved by the department for the handling and use of explosives as described on the department’s website. The training may be provided by the employer or by a reputable third party knowledgeable about the storage, handling, and use of explosives. The department may accept related job experience of 640 hours or more in lieu of training if the experience is documented by a sworn affidavit provided by the employing commercial explosive contractor licensee.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department may issue a commercial explosive blaster license to a person licensed or certified as a blaster in another state, provided that the department finds that the requirements for licensing or certification in the other state are comparable to those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235.5(5)</w:t>
      </w:r>
      <w:r>
        <w:rPr>
          <w:rFonts w:ascii="Times New Roman" w:hAnsi="Times New Roman"/>
          <w:b w:val="false"/>
          <w:i w:val="false"/>
          <w:color w:val="000000"/>
          <w:sz w:val="22"/>
        </w:rPr>
        <w:t> </w:t>
      </w:r>
      <w:r>
        <w:rPr>
          <w:rFonts w:ascii="Times New Roman" w:hAnsi="Times New Roman"/>
          <w:b w:val="false"/>
          <w:i w:val="false"/>
          <w:color w:val="000000"/>
          <w:sz w:val="22"/>
        </w:rPr>
        <w:t>An applicant for a renewal license has completed continuing education from a nationally recognized institution in professional explosives storage, handling, and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235.5(6)</w:t>
      </w:r>
      <w:r>
        <w:rPr>
          <w:rFonts w:ascii="Times New Roman" w:hAnsi="Times New Roman"/>
          <w:b w:val="false"/>
          <w:i w:val="false"/>
          <w:color w:val="000000"/>
          <w:sz w:val="22"/>
        </w:rPr>
        <w:t> </w:t>
      </w:r>
      <w:r>
        <w:rPr>
          <w:rFonts w:ascii="Times New Roman" w:hAnsi="Times New Roman"/>
          <w:b w:val="false"/>
          <w:i w:val="false"/>
          <w:color w:val="000000"/>
          <w:sz w:val="22"/>
        </w:rPr>
        <w:t>The applicant is 21 years of age or older.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