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661—235.4</w:t>
      </w:r>
      <w:r>
        <w:rPr>
          <w:rFonts w:ascii="Times New Roman" w:hAnsi="Times New Roman"/>
          <w:b/>
          <w:i w:val="false"/>
          <w:color w:val="000000"/>
          <w:sz w:val="22"/>
        </w:rPr>
        <w:t xml:space="preserve">(101A) </w:t>
      </w:r>
      <w:r>
        <w:rPr>
          <w:rFonts w:ascii="Times New Roman" w:hAnsi="Times New Roman"/>
          <w:b/>
          <w:i w:val="false"/>
          <w:color w:val="000000"/>
          <w:sz w:val="22"/>
        </w:rPr>
        <w:t xml:space="preserve">Issuance of commercial explosive contractor license. </w:t>
      </w:r>
      <w:r>
        <w:rPr>
          <w:rFonts w:ascii="Times New Roman" w:hAnsi="Times New Roman"/>
          <w:b w:val="false"/>
          <w:i w:val="false"/>
          <w:color w:val="000000"/>
          <w:sz w:val="22"/>
        </w:rPr>
        <w:t>A commercial explosive contractor license will be issued if all of the following conditions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235.4(1)</w:t>
      </w:r>
      <w:r>
        <w:rPr>
          <w:rFonts w:ascii="Times New Roman" w:hAnsi="Times New Roman"/>
          <w:b w:val="false"/>
          <w:i w:val="false"/>
          <w:color w:val="000000"/>
          <w:sz w:val="22"/>
        </w:rPr>
        <w:t> </w:t>
      </w:r>
      <w:r>
        <w:rPr>
          <w:rFonts w:ascii="Times New Roman" w:hAnsi="Times New Roman"/>
          <w:b w:val="false"/>
          <w:i w:val="false"/>
          <w:color w:val="000000"/>
          <w:sz w:val="22"/>
        </w:rPr>
        <w:t>All items required on the application have been completed, and any items the department deems necessary to verify have been appropriately verified.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235.4(2)</w:t>
      </w:r>
      <w:r>
        <w:rPr>
          <w:rFonts w:ascii="Times New Roman" w:hAnsi="Times New Roman"/>
          <w:b w:val="false"/>
          <w:i w:val="false"/>
          <w:color w:val="000000"/>
          <w:sz w:val="22"/>
        </w:rPr>
        <w:t> </w:t>
      </w:r>
      <w:r>
        <w:rPr>
          <w:rFonts w:ascii="Times New Roman" w:hAnsi="Times New Roman"/>
          <w:b w:val="false"/>
          <w:i w:val="false"/>
          <w:color w:val="000000"/>
          <w:sz w:val="22"/>
        </w:rPr>
        <w:t>No applicant for whom commercial explosive licensure is sought nor any person who will have, at any time, possession of explosives in the course of employment with the prospective contractor licensee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convicted of any offense involving explosives or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been previously disqualified from being licensed to handle explosives in this or any other state. The department may grant a license to a person previously disqualified if the department is satisfied that the condition or conditions that led to the disqualification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an unlawful user of or be addicted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been adjudged mentally incompetent at any time by any court, been committed by any court to any mental institution, received inpatient treatment for any mental illness in the past three years, or received treatment by a health care professional for a serious mental illness or disorder that impairs a person’s capacity to function normally and safely, both toward themselves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235.4(3)</w:t>
      </w:r>
      <w:r>
        <w:rPr>
          <w:rFonts w:ascii="Times New Roman" w:hAnsi="Times New Roman"/>
          <w:b w:val="false"/>
          <w:i w:val="false"/>
          <w:color w:val="000000"/>
          <w:sz w:val="22"/>
        </w:rPr>
        <w:t> </w:t>
      </w:r>
      <w:r>
        <w:rPr>
          <w:rFonts w:ascii="Times New Roman" w:hAnsi="Times New Roman"/>
          <w:b w:val="false"/>
          <w:i w:val="false"/>
          <w:color w:val="000000"/>
          <w:sz w:val="22"/>
        </w:rPr>
        <w:t>The applicant has at least one responsible person or employee licensed as a commercial explosive blaster.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