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661—235.3</w:t>
      </w:r>
      <w:r>
        <w:rPr>
          <w:rFonts w:ascii="Times New Roman" w:hAnsi="Times New Roman"/>
          <w:b/>
          <w:i w:val="false"/>
          <w:color w:val="000000"/>
          <w:sz w:val="22"/>
        </w:rPr>
        <w:t xml:space="preserve">(101A,272C) </w:t>
      </w:r>
      <w:r>
        <w:rPr>
          <w:rFonts w:ascii="Times New Roman" w:hAnsi="Times New Roman"/>
          <w:b/>
          <w:i w:val="false"/>
          <w:color w:val="000000"/>
          <w:sz w:val="22"/>
        </w:rPr>
        <w:t xml:space="preserve">License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commercial explosive contractor or commercial explosive blaster license. </w:t>
      </w:r>
      <w:r>
        <w:rPr>
          <w:rFonts w:ascii="Times New Roman" w:hAnsi="Times New Roman"/>
          <w:b w:val="false"/>
          <w:i w:val="false"/>
          <w:color w:val="000000"/>
          <w:sz w:val="22"/>
        </w:rPr>
        <w:t>Applications for a commercial explosive contractor license or a commercial explosive blaster license are available on the department’s website. The application shall be filed no later than 30 days prior to the date of beginning work in this state or on which an existing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and required information. </w:t>
      </w:r>
      <w:r>
        <w:rPr>
          <w:rFonts w:ascii="Times New Roman" w:hAnsi="Times New Roman"/>
          <w:b w:val="false"/>
          <w:i w:val="false"/>
          <w:color w:val="000000"/>
          <w:sz w:val="22"/>
        </w:rPr>
        <w:t>A completed application for a license shall be submitted to the department at the address specified on the department’s website.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 xml:space="preserve">Each license application shall be accompanied by a license fee as set forth in Iowa Code section </w:t>
      </w:r>
      <w:hyperlink r:id="rId4">
        <w:r>
          <w:rPr>
            <w:rStyle w:val="Hyperlink"/>
            <w:rFonts w:ascii="Times New Roman" w:hAnsi="Times New Roman"/>
            <w:b w:val="false"/>
            <w:i w:val="false"/>
            <w:color w:val="000000"/>
            <w:sz w:val="22"/>
          </w:rPr>
          <w:t>101A.2(2)</w:t>
        </w:r>
      </w:hyperlink>
      <w:r>
        <w:rPr>
          <w:rFonts w:ascii="Times New Roman" w:hAnsi="Times New Roman"/>
          <w:b w:val="false"/>
          <w:i w:val="false"/>
          <w:color w:val="000000"/>
          <w:sz w:val="22"/>
        </w:rPr>
        <w: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235.3(4)</w:t>
      </w:r>
      <w:r>
        <w:rPr>
          <w:rFonts w:ascii="Times New Roman" w:hAnsi="Times New Roman"/>
          <w:b w:val="false"/>
          <w:i w:val="false"/>
          <w:color w:val="000000"/>
          <w:sz w:val="22"/>
        </w:rPr>
        <w:t> </w:t>
      </w:r>
      <w:r>
        <w:rPr>
          <w:rFonts w:ascii="Times New Roman" w:hAnsi="Times New Roman"/>
          <w:b w:val="false"/>
          <w:i/>
          <w:color w:val="000000"/>
          <w:sz w:val="22"/>
        </w:rPr>
        <w:t xml:space="preserve">License duration. </w:t>
      </w:r>
      <w:r>
        <w:rPr>
          <w:rFonts w:ascii="Times New Roman" w:hAnsi="Times New Roman"/>
          <w:b w:val="false"/>
          <w:i w:val="false"/>
          <w:color w:val="000000"/>
          <w:sz w:val="22"/>
        </w:rPr>
        <w:t>Licensure will normally be for three years and expire on December 31 of the third year after it is issued, except that a license issued in December of any year expires on December 31 after two years have passed from the date on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w:t>
      </w:r>
      <w:r>
        <w:rPr>
          <w:rFonts w:ascii="Times New Roman" w:hAnsi="Times New Roman"/>
          <w:b w:val="false"/>
          <w:i w:val="false"/>
          <w:color w:val="000000"/>
          <w:sz w:val="22"/>
        </w:rPr>
        <w:t xml:space="preserve">An applicant is subject to a national criminal history check pursuant to Iowa Code section </w:t>
      </w:r>
      <w:hyperlink r:id="rId5">
        <w:r>
          <w:rPr>
            <w:rStyle w:val="Hyperlink"/>
            <w:rFonts w:ascii="Times New Roman" w:hAnsi="Times New Roman"/>
            <w:b w:val="false"/>
            <w:i w:val="false"/>
            <w:color w:val="000000"/>
            <w:sz w:val="22"/>
          </w:rPr>
          <w:t>101A.2(3)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235.3(6)</w:t>
      </w:r>
      <w:r>
        <w:rPr>
          <w:rFonts w:ascii="Times New Roman" w:hAnsi="Times New Roman"/>
          <w:b w:val="false"/>
          <w:i w:val="false"/>
          <w:color w:val="000000"/>
          <w:sz w:val="22"/>
        </w:rPr>
        <w:t> </w:t>
      </w:r>
      <w:r>
        <w:rPr>
          <w:rFonts w:ascii="Times New Roman" w:hAnsi="Times New Roman"/>
          <w:b w:val="false"/>
          <w:i/>
          <w:color w:val="000000"/>
          <w:sz w:val="22"/>
        </w:rPr>
        <w:t xml:space="preserve">Veterans and military service members.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6">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commercial explosive contractor or blaster should apply for licensure in accordance with </w:t>
      </w:r>
      <w:hyperlink r:id="rId7">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A.2.pdf" Type="http://schemas.openxmlformats.org/officeDocument/2006/relationships/hyperlink" Id="rId4"/>
    <Relationship TargetMode="External" Target="https://www.legis.iowa.gov/docs/ico/chapter/101A.2.pdf" Type="http://schemas.openxmlformats.org/officeDocument/2006/relationships/hyperlink" Id="rId5"/>
    <Relationship TargetMode="External" Target="https://www.legis.iowa.gov/docs/ico/chapter/29A.1.pdf" Type="http://schemas.openxmlformats.org/officeDocument/2006/relationships/hyperlink" Id="rId6"/>
    <Relationship TargetMode="External" Target="https://www.legis.iowa.gov/docs/iac/chapter/481.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