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661—235.2</w:t>
      </w:r>
      <w:r>
        <w:rPr>
          <w:rFonts w:ascii="Times New Roman" w:hAnsi="Times New Roman"/>
          <w:b/>
          <w:i w:val="false"/>
          <w:color w:val="000000"/>
          <w:sz w:val="22"/>
        </w:rPr>
        <w:t xml:space="preserve">(101A) </w:t>
      </w:r>
      <w:r>
        <w:rPr>
          <w:rFonts w:ascii="Times New Roman" w:hAnsi="Times New Roman"/>
          <w:b/>
          <w:i w:val="false"/>
          <w:color w:val="000000"/>
          <w:sz w:val="22"/>
        </w:rPr>
        <w:t xml:space="preserve">Licenses required. </w:t>
      </w:r>
      <w:r>
        <w:rPr>
          <w:rFonts w:ascii="Times New Roman" w:hAnsi="Times New Roman"/>
          <w:b w:val="false"/>
          <w:i w:val="false"/>
          <w:color w:val="000000"/>
          <w:sz w:val="22"/>
        </w:rPr>
        <w:t>Except as specifically exempted by another provision of state or federal law, any business whose employees are engaged in the manufacture, importation, distribution, sale, or commercial use of explosives in the course of their employment shall be required to hold a current commercial explosive contractor license issued pursuant to this chapter. Any individual, except as specifically exempted by another provision of law, who conducts blasting or is in charge of or responsible for loading or detonation of any explosive material shall be required to hold a current commercial explosive blaster license issued pursuant to this chapter. A commercial explosive blaster license is not required to authorize a person solely to transport explosives from one location to another, to assist a licensed blaster, to train under a licensed blaster, or to engage in the manufacture of explosives.</w:t>
      </w:r>
    </w:p>
    <w:p>
      <w:pPr>
        <w:spacing w:before="0" w:after="0"/>
        <w:ind w:left="120"/>
        <w:jc w:val="left"/>
      </w:pPr>
      <w:r>
        <w:rPr>
          <w:rFonts w:ascii="Times New Roman" w:hAnsi="Times New Roman"/>
          <w:b w:val="false"/>
          <w:i w:val="false"/>
          <w:color w:val="000000"/>
          <w:sz w:val="22"/>
        </w:rPr>
        <w:t>NOTE</w:t>
      </w:r>
      <w:r>
        <w:rPr>
          <w:rFonts w:ascii="Times New Roman" w:hAnsi="Times New Roman"/>
          <w:b w:val="false"/>
          <w:i w:val="false"/>
          <w:color w:val="000000"/>
          <w:sz w:val="22"/>
        </w:rPr>
        <w:t>: Iowa Code section 101A.1 excludes “fireworks” from the definition of “explosive.” Consequently, working with fireworks does not necessitate a blaster license, nor does the manufacture, importation, distribution, sale, or commercial use of fireworks necessitate a commercial explosive license.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