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661—226.8</w:t>
      </w:r>
      <w:r>
        <w:rPr>
          <w:rFonts w:ascii="Times New Roman" w:hAnsi="Times New Roman"/>
          <w:b/>
          <w:i w:val="false"/>
          <w:color w:val="000000"/>
          <w:sz w:val="22"/>
        </w:rPr>
        <w:t xml:space="preserve">(101) </w:t>
      </w:r>
      <w:r>
        <w:rPr>
          <w:rFonts w:ascii="Times New Roman" w:hAnsi="Times New Roman"/>
          <w:b/>
          <w:i w:val="false"/>
          <w:color w:val="000000"/>
          <w:sz w:val="22"/>
        </w:rPr>
        <w:t xml:space="preserve">Installation and use of DOT specification MC330 or MC331 cargo tanks in stationary service. </w:t>
      </w:r>
      <w:r>
        <w:rPr>
          <w:rFonts w:ascii="Times New Roman" w:hAnsi="Times New Roman"/>
          <w:b w:val="false"/>
          <w:i w:val="false"/>
          <w:color w:val="000000"/>
          <w:sz w:val="22"/>
        </w:rPr>
        <w:t>The installation and use of DOT specification MC330 or MC331 cargo tanks in stationary service shall be in accordance with NFPA 58, 2017 edition,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226.8(1)</w:t>
      </w:r>
      <w:r>
        <w:rPr>
          <w:rFonts w:ascii="Times New Roman" w:hAnsi="Times New Roman"/>
          <w:b w:val="false"/>
          <w:i w:val="false"/>
          <w:color w:val="000000"/>
          <w:sz w:val="22"/>
        </w:rPr>
        <w:t> </w:t>
      </w:r>
      <w:r>
        <w:rPr>
          <w:rFonts w:ascii="Times New Roman" w:hAnsi="Times New Roman"/>
          <w:b w:val="false"/>
          <w:i w:val="false"/>
          <w:color w:val="000000"/>
          <w:sz w:val="22"/>
        </w:rPr>
        <w:t>Containers shall be repaired or altered to prevent moisture or water from collecting in any container well. Repairs or alterations to pressure vessels must meet the requirements of the National Board Inspection Code (NBIC) [5] and must be performed by a repair organization accredited by the NBIC and authorized to utilize the “R” code symbol stamp.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226.8(2)</w:t>
      </w:r>
      <w:r>
        <w:rPr>
          <w:rFonts w:ascii="Times New Roman" w:hAnsi="Times New Roman"/>
          <w:b w:val="false"/>
          <w:i w:val="false"/>
          <w:color w:val="000000"/>
          <w:sz w:val="22"/>
        </w:rPr>
        <w:t> </w:t>
      </w:r>
      <w:r>
        <w:rPr>
          <w:rFonts w:ascii="Times New Roman" w:hAnsi="Times New Roman"/>
          <w:b w:val="false"/>
          <w:i w:val="false"/>
          <w:color w:val="000000"/>
          <w:sz w:val="22"/>
        </w:rPr>
        <w:t>Following a repair or alteration and final inspection by a National Board-commissioned inspector, the repair organization will affix a “Repair” nameplate to the pressure vessel which is similar to the ASME nameplate.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226.8(3)</w:t>
      </w:r>
      <w:r>
        <w:rPr>
          <w:rFonts w:ascii="Times New Roman" w:hAnsi="Times New Roman"/>
          <w:b w:val="false"/>
          <w:i w:val="false"/>
          <w:color w:val="000000"/>
          <w:sz w:val="22"/>
        </w:rPr>
        <w:t> </w:t>
      </w:r>
      <w:r>
        <w:rPr>
          <w:rFonts w:ascii="Times New Roman" w:hAnsi="Times New Roman"/>
          <w:b w:val="false"/>
          <w:i w:val="false"/>
          <w:color w:val="000000"/>
          <w:sz w:val="22"/>
        </w:rPr>
        <w:t>Alternate methods for preventing moisture or water from collecting in any container well may be considered in accordance with the equivalency requirements set forth in NFPA 58, 2017 edition, Section 1.5, Equivalency.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