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661—226.6</w:t>
      </w:r>
      <w:r>
        <w:rPr>
          <w:rFonts w:ascii="Times New Roman" w:hAnsi="Times New Roman"/>
          <w:b/>
          <w:i w:val="false"/>
          <w:color w:val="000000"/>
          <w:sz w:val="22"/>
        </w:rPr>
        <w:t xml:space="preserve">(101) </w:t>
      </w:r>
      <w:r>
        <w:rPr>
          <w:rFonts w:ascii="Times New Roman" w:hAnsi="Times New Roman"/>
          <w:b/>
          <w:i w:val="false"/>
          <w:color w:val="000000"/>
          <w:sz w:val="22"/>
        </w:rPr>
        <w:t xml:space="preserve">Damages—reporting.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226.6(1)</w:t>
      </w:r>
      <w:r>
        <w:rPr>
          <w:rFonts w:ascii="Times New Roman" w:hAnsi="Times New Roman"/>
          <w:b w:val="false"/>
          <w:i w:val="false"/>
          <w:color w:val="000000"/>
          <w:sz w:val="22"/>
        </w:rPr>
        <w:t> </w:t>
      </w:r>
      <w:r>
        <w:rPr>
          <w:rFonts w:ascii="Times New Roman" w:hAnsi="Times New Roman"/>
          <w:b w:val="false"/>
          <w:i/>
          <w:color w:val="000000"/>
          <w:sz w:val="22"/>
        </w:rPr>
        <w:t xml:space="preserve">Responsibility to report.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Any person who causes damage to any LP-gas piping system, including hoses, other than a person qualified in accordance with rule </w:t>
      </w:r>
      <w:hyperlink r:id="rId4">
        <w:r>
          <w:rPr>
            <w:rStyle w:val="Hyperlink"/>
            <w:rFonts w:ascii="Times New Roman" w:hAnsi="Times New Roman"/>
            <w:b w:val="false"/>
            <w:i w:val="false"/>
            <w:color w:val="000000"/>
            <w:sz w:val="22"/>
          </w:rPr>
          <w:t>661—226.4(101)</w:t>
        </w:r>
      </w:hyperlink>
      <w:r>
        <w:rPr>
          <w:rFonts w:ascii="Times New Roman" w:hAnsi="Times New Roman"/>
          <w:b w:val="false"/>
          <w:i w:val="false"/>
          <w:color w:val="000000"/>
          <w:sz w:val="22"/>
        </w:rPr>
        <w:t xml:space="preserve"> and who has been authorized by the owner or occupant to repair the LP-gas installation, shall immediately turn off the supply of propane to the affected system and shall immediately notify the local fire department. After the call to the fire department, the person shall immediately notify the occupant of the property of the damage and the shutoff. If the occupant of the property cannot be contacted immediately, the owner of the property shall immediately be notified.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occupant or owner of property on which an LP-gas system is located has received notification that the system has been damaged and the occupant or owner finds that the supply of propane to the system has not been shut off, then the occupant or owner shall immediately shut off the supply of propane to the system and shall immediately notify the local fire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occupant or owner of property on which an LP-gas system is located finds that an LP-gas piping system has been damaged and the damage has not been reported to the occupant or owner as required by paragraph </w:t>
      </w:r>
      <w:r>
        <w:rPr>
          <w:rFonts w:ascii="Times New Roman" w:hAnsi="Times New Roman"/>
          <w:b w:val="false"/>
          <w:i/>
          <w:color w:val="000000"/>
          <w:sz w:val="22"/>
        </w:rPr>
        <w:t>“a”</w:t>
      </w:r>
      <w:r>
        <w:rPr>
          <w:rFonts w:ascii="Times New Roman" w:hAnsi="Times New Roman"/>
          <w:b w:val="false"/>
          <w:i w:val="false"/>
          <w:color w:val="000000"/>
          <w:sz w:val="22"/>
        </w:rPr>
        <w:t xml:space="preserve"> of this subrule, the occupant or owner shall immediately shut off the supply of propane to the system and shall immediately notify the local fire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226.6(2)</w:t>
      </w:r>
      <w:r>
        <w:rPr>
          <w:rFonts w:ascii="Times New Roman" w:hAnsi="Times New Roman"/>
          <w:b w:val="false"/>
          <w:i w:val="false"/>
          <w:color w:val="000000"/>
          <w:sz w:val="22"/>
        </w:rPr>
        <w:t> </w:t>
      </w:r>
      <w:r>
        <w:rPr>
          <w:rFonts w:ascii="Times New Roman" w:hAnsi="Times New Roman"/>
          <w:b w:val="false"/>
          <w:i/>
          <w:color w:val="000000"/>
          <w:sz w:val="22"/>
        </w:rPr>
        <w:t xml:space="preserve">Notification to qualified person. </w:t>
      </w:r>
      <w:r>
        <w:rPr>
          <w:rFonts w:ascii="Times New Roman" w:hAnsi="Times New Roman"/>
          <w:b w:val="false"/>
          <w:i w:val="false"/>
          <w:color w:val="000000"/>
          <w:sz w:val="22"/>
        </w:rPr>
        <w:t xml:space="preserve">The occupant or owner of the property on which an LP-gas system is located shall notify a person qualified pursuant to rule </w:t>
      </w:r>
      <w:hyperlink r:id="rId5">
        <w:r>
          <w:rPr>
            <w:rStyle w:val="Hyperlink"/>
            <w:rFonts w:ascii="Times New Roman" w:hAnsi="Times New Roman"/>
            <w:b w:val="false"/>
            <w:i w:val="false"/>
            <w:color w:val="000000"/>
            <w:sz w:val="22"/>
          </w:rPr>
          <w:t>661—226.4</w:t>
        </w:r>
      </w:hyperlink>
      <w:r>
        <w:rPr>
          <w:rFonts w:ascii="Times New Roman" w:hAnsi="Times New Roman"/>
          <w:b w:val="false"/>
          <w:i w:val="false"/>
          <w:color w:val="000000"/>
          <w:sz w:val="22"/>
        </w:rPr>
        <w:t>(101) of any damage to an LP-gas piping system immediately after receiving notification or otherwise becoming aware of the damage and shall arrange for the qualified person to inspect, repair, and test the damaged system prior to restoration of service to the damaged or repaired system.</w:t>
      </w:r>
    </w:p>
    <w:p>
      <w:pPr>
        <w:spacing w:before="0" w:after="0"/>
        <w:ind w:left="120"/>
        <w:jc w:val="both"/>
      </w:pPr>
      <w:r>
        <w:rPr>
          <w:rFonts w:ascii="Times New Roman" w:hAnsi="Times New Roman"/>
          <w:b w:val="false"/>
          <w:i w:val="false"/>
          <w:color w:val="000000"/>
          <w:sz w:val="22"/>
        </w:rPr>
        <w:t>Arrangement by the occupant or owner of the property for required repairs and testing shall not relieve the person who damaged the system of any liability, including the costs of repair or testing.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226.6(3)</w:t>
      </w:r>
      <w:r>
        <w:rPr>
          <w:rFonts w:ascii="Times New Roman" w:hAnsi="Times New Roman"/>
          <w:b w:val="false"/>
          <w:i w:val="false"/>
          <w:color w:val="000000"/>
          <w:sz w:val="22"/>
        </w:rPr>
        <w:t> </w:t>
      </w:r>
      <w:r>
        <w:rPr>
          <w:rFonts w:ascii="Times New Roman" w:hAnsi="Times New Roman"/>
          <w:b w:val="false"/>
          <w:i/>
          <w:color w:val="000000"/>
          <w:sz w:val="22"/>
        </w:rPr>
        <w:t xml:space="preserve">Restoration of service. </w:t>
      </w:r>
      <w:r>
        <w:rPr>
          <w:rFonts w:ascii="Times New Roman" w:hAnsi="Times New Roman"/>
          <w:b w:val="false"/>
          <w:i w:val="false"/>
          <w:color w:val="000000"/>
          <w:sz w:val="22"/>
        </w:rPr>
        <w:t xml:space="preserve">LP-gas service shall not be restored to an LP-gas piping system which has been damaged until the system has been repaired and tested in accordance with rule </w:t>
      </w:r>
      <w:hyperlink r:id="rId6">
        <w:r>
          <w:rPr>
            <w:rStyle w:val="Hyperlink"/>
            <w:rFonts w:ascii="Times New Roman" w:hAnsi="Times New Roman"/>
            <w:b w:val="false"/>
            <w:i w:val="false"/>
            <w:color w:val="000000"/>
            <w:sz w:val="22"/>
          </w:rPr>
          <w:t>661—226.5</w:t>
        </w:r>
      </w:hyperlink>
      <w:r>
        <w:rPr>
          <w:rFonts w:ascii="Times New Roman" w:hAnsi="Times New Roman"/>
          <w:b w:val="false"/>
          <w:i w:val="false"/>
          <w:color w:val="000000"/>
          <w:sz w:val="22"/>
        </w:rPr>
        <w:t>(101).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61.226.4.pdf" Type="http://schemas.openxmlformats.org/officeDocument/2006/relationships/hyperlink" Id="rId4"/>
    <Relationship TargetMode="External" Target="https://www.legis.iowa.gov/docs/iac/rule/661.226.4.pdf" Type="http://schemas.openxmlformats.org/officeDocument/2006/relationships/hyperlink" Id="rId5"/>
    <Relationship TargetMode="External" Target="https://www.legis.iowa.gov/docs/iac/rule/661.226.5.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