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661—226.4</w:t>
      </w:r>
      <w:r>
        <w:rPr>
          <w:rFonts w:ascii="Times New Roman" w:hAnsi="Times New Roman"/>
          <w:b/>
          <w:i w:val="false"/>
          <w:color w:val="000000"/>
          <w:sz w:val="22"/>
        </w:rPr>
        <w:t xml:space="preserve">(101) </w:t>
      </w:r>
      <w:r>
        <w:rPr>
          <w:rFonts w:ascii="Times New Roman" w:hAnsi="Times New Roman"/>
          <w:b/>
          <w:i w:val="false"/>
          <w:color w:val="000000"/>
          <w:sz w:val="22"/>
        </w:rPr>
        <w:t xml:space="preserve">Qualifications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226.4(1)</w:t>
      </w:r>
      <w:r>
        <w:rPr>
          <w:rFonts w:ascii="Times New Roman" w:hAnsi="Times New Roman"/>
          <w:b w:val="false"/>
          <w:i w:val="false"/>
          <w:color w:val="000000"/>
          <w:sz w:val="22"/>
        </w:rPr>
        <w:t> </w:t>
      </w:r>
      <w:r>
        <w:rPr>
          <w:rFonts w:ascii="Times New Roman" w:hAnsi="Times New Roman"/>
          <w:b w:val="false"/>
          <w:i w:val="false"/>
          <w:color w:val="000000"/>
          <w:sz w:val="22"/>
        </w:rPr>
        <w:t>Persons who transfer liquefied petroleum gas, who are employed to transport liquefied petroleum gas, or whose primary duties fall within the scope of this chapter shall be trained in proper handling and emergency response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both initial training and refresher training that addresses but is not limited to safe work practices, the health and safety hazards of liquefied petroleum gas, emergency response procedures, and supervised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shall include participation in a recognized training program and shall include both a written qualification assessment (closed-book test) and a skills assessment, based on the objectives set forth in the recognized training program and the requirements of NFPA 54 National Fuel Gas Code, 2018 edition, NFPA 58 Liquefied Petroleum Gas Code, 2017 edition, and any applicable requirements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include both a written qualification assessment (closed-book test) and a hands-on skills assessment based on requirements of NFPA 54 National Fuel Gas Code, 2018 edition, NFPA 58 Liquefied Petroleum Gas Code, 2017 edition, and any applicable requirements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qualification assessment shall be proctored through the training agency providing the refresher training or another qualified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hands-on skills assessment shall be completed by the training agency or another qualified party and shall include a verification of completion that shall be signed by the individual completing the required skills and the skills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be provided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training shall be documented. Documentation shall be maintained by the current employer of the person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226.4(2)</w:t>
      </w:r>
      <w:r>
        <w:rPr>
          <w:rFonts w:ascii="Times New Roman" w:hAnsi="Times New Roman"/>
          <w:b w:val="false"/>
          <w:i w:val="false"/>
          <w:color w:val="000000"/>
          <w:sz w:val="22"/>
        </w:rPr>
        <w:t> </w:t>
      </w:r>
      <w:r>
        <w:rPr>
          <w:rFonts w:ascii="Times New Roman" w:hAnsi="Times New Roman"/>
          <w:b w:val="false"/>
          <w:i w:val="false"/>
          <w:color w:val="000000"/>
          <w:sz w:val="22"/>
        </w:rPr>
        <w:t>Persons who install, service, test, or maintain propane gas utilization equipment, or gas piping systems of which the equipment is a part, or accessories shall be trained in the proper procedures in accordance with applicable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training shall include participation in a training program and shall include both a written qualification assessment (closed-book test) and a skills assessment, based on the objectives set forth in the recognized training program and the requirements of NFPA 54 National Fuel Gas Code, 2018 edition, NFPA 58 Liquefied Petroleum Gas Code,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include both a written qualification assessment (closed-book test) and a hands-on skills assessment based on requirements of NFPA 54 National Fuel Gas Code, 2018 edition, NFPA 58 Liquefied Petroleum Gas Code,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qualification assessment shall be proctored through the training agency providing the refresher training or another qualified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hands-on skills assessment shall be completed by the training agency or another qualified party and shall include a verification of completion that shall be signed by the individual completing the required skills and the skills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be provided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training shall be documented. Documentation shall be maintained by the current employer of the person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226.4(3)</w:t>
      </w:r>
      <w:r>
        <w:rPr>
          <w:rFonts w:ascii="Times New Roman" w:hAnsi="Times New Roman"/>
          <w:b w:val="false"/>
          <w:i w:val="false"/>
          <w:color w:val="000000"/>
          <w:sz w:val="22"/>
        </w:rPr>
        <w:t> </w:t>
      </w:r>
      <w:r>
        <w:rPr>
          <w:rFonts w:ascii="Times New Roman" w:hAnsi="Times New Roman"/>
          <w:b w:val="false"/>
          <w:i w:val="false"/>
          <w:color w:val="000000"/>
          <w:sz w:val="22"/>
        </w:rPr>
        <w:t>All training programs shall be instructor-led by a competent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226.4(4)</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the written qualification assessment and hands-on skills assessment shall satisfy the refresher training requirements of subrules </w:t>
      </w:r>
      <w:hyperlink r:id="rId4">
        <w:r>
          <w:rPr>
            <w:rStyle w:val="Hyperlink"/>
            <w:rFonts w:ascii="Times New Roman" w:hAnsi="Times New Roman"/>
            <w:b w:val="false"/>
            <w:i w:val="false"/>
            <w:color w:val="000000"/>
            <w:sz w:val="22"/>
          </w:rPr>
          <w:t>226.4(1)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226.4(2)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requirements of </w:t>
      </w:r>
      <w:hyperlink r:id="rId6">
        <w:r>
          <w:rPr>
            <w:rStyle w:val="Hyperlink"/>
            <w:rFonts w:ascii="Times New Roman" w:hAnsi="Times New Roman"/>
            <w:b w:val="false"/>
            <w:i w:val="false"/>
            <w:color w:val="000000"/>
            <w:sz w:val="22"/>
          </w:rPr>
          <w:t>subrules 226.4(1) through 226.4(4)</w:t>
        </w:r>
      </w:hyperlink>
      <w:r>
        <w:rPr>
          <w:rFonts w:ascii="Times New Roman" w:hAnsi="Times New Roman"/>
          <w:b w:val="false"/>
          <w:i w:val="false"/>
          <w:color w:val="000000"/>
          <w:sz w:val="22"/>
        </w:rPr>
        <w:t xml:space="preserve"> shall not apply to users as defined in </w:t>
      </w:r>
      <w:hyperlink r:id="rId7">
        <w:r>
          <w:rPr>
            <w:rStyle w:val="Hyperlink"/>
            <w:rFonts w:ascii="Times New Roman" w:hAnsi="Times New Roman"/>
            <w:b w:val="false"/>
            <w:i w:val="false"/>
            <w:color w:val="000000"/>
            <w:sz w:val="22"/>
          </w:rPr>
          <w:t>subrule 226.10(2)</w:t>
        </w:r>
      </w:hyperlink>
      <w:r>
        <w:rPr>
          <w:rFonts w:ascii="Times New Roman" w:hAnsi="Times New Roman"/>
          <w:b w:val="false"/>
          <w:i w:val="false"/>
          <w:color w:val="000000"/>
          <w:sz w:val="22"/>
        </w:rPr>
        <w:t xml:space="preserve">. If the user is also a person who transfers or is employed to transport liquefied petroleum gas, or whose primary duties fall within the scope of this chapter, then the person must comply with the requirements of </w:t>
      </w:r>
      <w:hyperlink r:id="rId8">
        <w:r>
          <w:rPr>
            <w:rStyle w:val="Hyperlink"/>
            <w:rFonts w:ascii="Times New Roman" w:hAnsi="Times New Roman"/>
            <w:b w:val="false"/>
            <w:i w:val="false"/>
            <w:color w:val="000000"/>
            <w:sz w:val="22"/>
          </w:rPr>
          <w:t>subrules 226.4(1) through 226.4(4)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2874C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26.4.pdf" Type="http://schemas.openxmlformats.org/officeDocument/2006/relationships/hyperlink" Id="rId4"/>
    <Relationship TargetMode="External" Target="https://www.legis.iowa.gov/docs/iac/rule/661.226.4.pdf" Type="http://schemas.openxmlformats.org/officeDocument/2006/relationships/hyperlink" Id="rId5"/>
    <Relationship TargetMode="External" Target="https://www.legis.iowa.gov/docs/iac/rule/661.226.4.pdf" Type="http://schemas.openxmlformats.org/officeDocument/2006/relationships/hyperlink" Id="rId6"/>
    <Relationship TargetMode="External" Target="https://www.legis.iowa.gov/docs/iac/rule/661.226.10.pdf" Type="http://schemas.openxmlformats.org/officeDocument/2006/relationships/hyperlink" Id="rId7"/>
    <Relationship TargetMode="External" Target="https://www.legis.iowa.gov/docs/iac/rule/661.226.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