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661—226.1</w:t>
      </w:r>
      <w:r>
        <w:rPr>
          <w:rFonts w:ascii="Times New Roman" w:hAnsi="Times New Roman"/>
          <w:b/>
          <w:i w:val="false"/>
          <w:color w:val="000000"/>
          <w:sz w:val="22"/>
        </w:rPr>
        <w:t xml:space="preserve">(101) </w:t>
      </w:r>
      <w:r>
        <w:rPr>
          <w:rFonts w:ascii="Times New Roman" w:hAnsi="Times New Roman"/>
          <w:b/>
          <w:i w:val="false"/>
          <w:color w:val="000000"/>
          <w:sz w:val="22"/>
        </w:rPr>
        <w:t xml:space="preserve">General requirements. </w:t>
      </w:r>
      <w:r>
        <w:rPr>
          <w:rFonts w:ascii="Times New Roman" w:hAnsi="Times New Roman"/>
          <w:b w:val="false"/>
          <w:i w:val="false"/>
          <w:color w:val="000000"/>
          <w:sz w:val="22"/>
        </w:rPr>
        <w:t>The provisions of the National Fire Protection Association, NFPA 54, ANSI Z223.1-2018 National Fuel Gas Code, 2018 edition, and NFPA 58, Liquefied Petroleum Gas Code, 2017 edition, published by the National Fire Protection Association, 1 Batterymarch Park, Quincy, MA 02169-7471, and all references contained therein, are hereby adopted by reference as the general requirements for transportation, storage, handling, and use of liquefied petroleum gas, with the following amendments:</w:t>
      </w:r>
    </w:p>
    <w:p>
      <w:pPr>
        <w:spacing w:before="0" w:after="0"/>
        <w:ind w:left="120"/>
        <w:jc w:val="left"/>
      </w:pPr>
      <w:r>
        <w:rPr>
          <w:rFonts w:ascii="Times New Roman" w:hAnsi="Times New Roman"/>
          <w:b w:val="false"/>
          <w:i w:val="false"/>
          <w:color w:val="000000"/>
          <w:sz w:val="22"/>
        </w:rPr>
        <w:t>Amend NFPA 54, ANSI Z223.1-2018 National Fuel Gas Code, 2018 edition, as follows:</w:t>
      </w:r>
    </w:p>
    <w:p>
      <w:pPr>
        <w:spacing w:before="0" w:after="0"/>
        <w:ind w:left="120"/>
        <w:jc w:val="left"/>
      </w:pPr>
      <w:r>
        <w:rPr>
          <w:rFonts w:ascii="Times New Roman" w:hAnsi="Times New Roman"/>
          <w:b w:val="false"/>
          <w:i w:val="false"/>
          <w:color w:val="000000"/>
          <w:sz w:val="22"/>
        </w:rPr>
        <w:t>Delete section 7.3.5.2 and insert in lieu thereof the following new section:</w:t>
      </w:r>
    </w:p>
    <w:p>
      <w:pPr>
        <w:spacing w:before="0" w:after="0"/>
        <w:ind w:left="120"/>
        <w:jc w:val="left"/>
      </w:pPr>
      <w:r>
        <w:rPr>
          <w:rFonts w:ascii="Times New Roman" w:hAnsi="Times New Roman"/>
          <w:b/>
          <w:i w:val="false"/>
          <w:color w:val="000000"/>
          <w:sz w:val="22"/>
        </w:rPr>
        <w:t>7.3.5.2</w:t>
      </w:r>
      <w:r>
        <w:rPr>
          <w:rFonts w:ascii="Times New Roman" w:hAnsi="Times New Roman"/>
          <w:b w:val="false"/>
          <w:i w:val="false"/>
          <w:color w:val="000000"/>
          <w:sz w:val="22"/>
        </w:rPr>
        <w:t> </w:t>
      </w:r>
    </w:p>
    <w:p>
      <w:pPr>
        <w:spacing w:before="0" w:after="0"/>
        <w:ind w:left="0"/>
        <w:jc w:val="left"/>
      </w:pPr>
      <w:r>
        <w:rPr>
          <w:rFonts w:ascii="Times New Roman" w:hAnsi="Times New Roman"/>
          <w:b w:val="false"/>
          <w:i w:val="false"/>
          <w:color w:val="000000"/>
          <w:sz w:val="22"/>
        </w:rPr>
        <w:t>Gas piping underground, outside a building, shall not be in physical contact with any concrete. Where it is necessary to install piping that will extend through or under an exterior concrete slab for connection to a regulator or other part of the system, before entering a building, the gas piping shall be sleeved. The sleeve shall extend through the concrete and be sealed only at the end extending above grade to prevent the entrance of insects, debris, or moisture. All piping, fittings, and risers shall be protected against corrosion in accordance with NFPA 54, National Fuel Gas Code, 2018 edition, section 7.2.2.</w:t>
      </w:r>
    </w:p>
    <w:p>
      <w:pPr>
        <w:spacing w:before="0" w:after="0"/>
        <w:ind w:left="120"/>
        <w:jc w:val="left"/>
      </w:pPr>
      <w:r>
        <w:rPr>
          <w:rFonts w:ascii="Times New Roman" w:hAnsi="Times New Roman"/>
          <w:b w:val="false"/>
          <w:i w:val="false"/>
          <w:color w:val="000000"/>
          <w:sz w:val="22"/>
        </w:rPr>
        <w:t>Delete section 8.2.1 and insert in lieu thereof the following new section:</w:t>
      </w:r>
    </w:p>
    <w:p>
      <w:pPr>
        <w:spacing w:before="0" w:after="0"/>
        <w:ind w:left="120"/>
        <w:jc w:val="left"/>
      </w:pPr>
      <w:r>
        <w:rPr>
          <w:rFonts w:ascii="Times New Roman" w:hAnsi="Times New Roman"/>
          <w:b/>
          <w:i w:val="false"/>
          <w:color w:val="000000"/>
          <w:sz w:val="22"/>
        </w:rPr>
        <w:t>8.2.1</w:t>
      </w:r>
      <w:r>
        <w:rPr>
          <w:rFonts w:ascii="Times New Roman" w:hAnsi="Times New Roman"/>
          <w:b w:val="false"/>
          <w:i w:val="false"/>
          <w:color w:val="000000"/>
          <w:sz w:val="22"/>
        </w:rPr>
        <w:t> </w:t>
      </w:r>
    </w:p>
    <w:p>
      <w:pPr>
        <w:spacing w:before="0" w:after="0"/>
        <w:ind w:left="0"/>
        <w:jc w:val="left"/>
      </w:pPr>
      <w:r>
        <w:rPr>
          <w:rFonts w:ascii="Times New Roman" w:hAnsi="Times New Roman"/>
          <w:b w:val="false"/>
          <w:i w:val="false"/>
          <w:color w:val="000000"/>
          <w:sz w:val="22"/>
        </w:rPr>
        <w:t>Leak checks using fuel gas (propane vapor) shall be permitted in piping systems that have been pressure-tested in accordance with  </w:t>
      </w:r>
      <w:hyperlink r:id="rId4">
        <w:r>
          <w:rPr>
            <w:rStyle w:val="Hyperlink"/>
            <w:rFonts w:ascii="Times New Roman" w:hAnsi="Times New Roman"/>
            <w:b w:val="false"/>
            <w:i w:val="false"/>
            <w:color w:val="000000"/>
            <w:sz w:val="22"/>
          </w:rPr>
          <w:t>661—subrule 226.5(1)</w:t>
        </w:r>
      </w:hyperlink>
      <w:r>
        <w:rPr>
          <w:rFonts w:ascii="Times New Roman" w:hAnsi="Times New Roman"/>
          <w:b w:val="false"/>
          <w:i w:val="false"/>
          <w:color w:val="000000"/>
          <w:sz w:val="22"/>
        </w:rPr>
        <w:t>.</w:t>
      </w:r>
    </w:p>
    <w:p>
      <w:pPr>
        <w:spacing w:before="0" w:after="0"/>
        <w:ind w:left="120"/>
        <w:jc w:val="left"/>
      </w:pPr>
      <w:r>
        <w:rPr>
          <w:rFonts w:ascii="Times New Roman" w:hAnsi="Times New Roman"/>
          <w:b w:val="false"/>
          <w:i w:val="false"/>
          <w:color w:val="000000"/>
          <w:sz w:val="22"/>
        </w:rPr>
        <w:t>Amend NFPA 58, Liquefied Petroleum Gas Code, 2017 edition, as follows:</w:t>
      </w:r>
    </w:p>
    <w:p>
      <w:pPr>
        <w:spacing w:before="0" w:after="0"/>
        <w:ind w:left="120"/>
        <w:jc w:val="left"/>
      </w:pPr>
      <w:r>
        <w:rPr>
          <w:rFonts w:ascii="Times New Roman" w:hAnsi="Times New Roman"/>
          <w:b w:val="false"/>
          <w:i w:val="false"/>
          <w:color w:val="000000"/>
          <w:sz w:val="22"/>
        </w:rPr>
        <w:t>Properties of LP-gases shall be determined in accordance with Annex B of NFPA 58.</w:t>
      </w:r>
    </w:p>
    <w:p>
      <w:pPr>
        <w:spacing w:before="0" w:after="0"/>
        <w:ind w:left="120"/>
        <w:jc w:val="left"/>
      </w:pPr>
      <w:r>
        <w:rPr>
          <w:rFonts w:ascii="Times New Roman" w:hAnsi="Times New Roman"/>
          <w:b w:val="false"/>
          <w:i w:val="false"/>
          <w:color w:val="000000"/>
          <w:sz w:val="22"/>
        </w:rPr>
        <w:t>Delete section 4.3.1 and insert in lieu thereof the following new section:</w:t>
      </w:r>
    </w:p>
    <w:p>
      <w:pPr>
        <w:spacing w:before="0" w:after="0"/>
        <w:ind w:left="120"/>
        <w:jc w:val="left"/>
      </w:pPr>
      <w:r>
        <w:rPr>
          <w:rFonts w:ascii="Times New Roman" w:hAnsi="Times New Roman"/>
          <w:b/>
          <w:i w:val="false"/>
          <w:color w:val="000000"/>
          <w:sz w:val="22"/>
        </w:rPr>
        <w:t>4.3.1</w:t>
      </w:r>
      <w:r>
        <w:rPr>
          <w:rFonts w:ascii="Times New Roman" w:hAnsi="Times New Roman"/>
          <w:b w:val="false"/>
          <w:i w:val="false"/>
          <w:color w:val="000000"/>
          <w:sz w:val="22"/>
        </w:rPr>
        <w:t> </w:t>
      </w:r>
    </w:p>
    <w:p>
      <w:pPr>
        <w:spacing w:before="0" w:after="0"/>
        <w:ind w:left="0"/>
        <w:jc w:val="left"/>
      </w:pPr>
      <w:r>
        <w:rPr>
          <w:rFonts w:ascii="Times New Roman" w:hAnsi="Times New Roman"/>
          <w:b w:val="false"/>
          <w:i w:val="false"/>
          <w:color w:val="000000"/>
          <w:sz w:val="22"/>
        </w:rPr>
        <w:t>Stationary installations. Where a stationary installation utilizes a storage container of more than 2,000 gallons (7,570 L) of individual water capacity, or the aggregate water capacity of storage containers is more than 4,000 gallons (15,140 L) in water capacity, the installer shall submit plans (Liquid Propane Plan – DIVISION OF STATE FIRE MARSHAL) for such installation to the state fire marshal for review and approval. Installation shall not commence until written approval from the state fire marshal has been received. The local fire department [city or county where the tank(s) is located] shall be advised of each installation.</w:t>
      </w:r>
    </w:p>
    <w:p>
      <w:pPr>
        <w:spacing w:before="0" w:after="0"/>
        <w:ind w:left="120"/>
        <w:jc w:val="left"/>
      </w:pPr>
      <w:r>
        <w:rPr>
          <w:rFonts w:ascii="Times New Roman" w:hAnsi="Times New Roman"/>
          <w:b w:val="false"/>
          <w:i w:val="false"/>
          <w:color w:val="000000"/>
          <w:sz w:val="22"/>
        </w:rPr>
        <w:t>Delete section 5.2.3 and insert in lieu thereof the following new section:</w:t>
      </w:r>
    </w:p>
    <w:p>
      <w:pPr>
        <w:spacing w:before="0" w:after="0"/>
        <w:ind w:left="120"/>
        <w:jc w:val="left"/>
      </w:pPr>
      <w:r>
        <w:rPr>
          <w:rFonts w:ascii="Times New Roman" w:hAnsi="Times New Roman"/>
          <w:b/>
          <w:i w:val="false"/>
          <w:color w:val="000000"/>
          <w:sz w:val="22"/>
        </w:rPr>
        <w:t>5.2.3</w:t>
      </w:r>
      <w:r>
        <w:rPr>
          <w:rFonts w:ascii="Times New Roman" w:hAnsi="Times New Roman"/>
          <w:b w:val="false"/>
          <w:i w:val="false"/>
          <w:color w:val="000000"/>
          <w:sz w:val="22"/>
        </w:rPr>
        <w:t> </w:t>
      </w:r>
    </w:p>
    <w:p>
      <w:pPr>
        <w:spacing w:before="0" w:after="0"/>
        <w:ind w:left="0"/>
        <w:jc w:val="left"/>
      </w:pPr>
      <w:r>
        <w:rPr>
          <w:rFonts w:ascii="Times New Roman" w:hAnsi="Times New Roman"/>
          <w:b w:val="false"/>
          <w:i w:val="false"/>
          <w:color w:val="000000"/>
          <w:sz w:val="22"/>
        </w:rPr>
        <w:t>Cylinders filled on site at the point of use.</w:t>
      </w:r>
    </w:p>
    <w:p>
      <w:pPr>
        <w:spacing w:before="0" w:after="0"/>
        <w:ind w:left="120"/>
        <w:jc w:val="left"/>
      </w:pPr>
      <w:r>
        <w:rPr>
          <w:rFonts w:ascii="Times New Roman" w:hAnsi="Times New Roman"/>
          <w:b/>
          <w:i w:val="false"/>
          <w:color w:val="000000"/>
          <w:sz w:val="22"/>
        </w:rPr>
        <w:t>5.2.3.1</w:t>
      </w:r>
      <w:r>
        <w:rPr>
          <w:rFonts w:ascii="Times New Roman" w:hAnsi="Times New Roman"/>
          <w:b w:val="false"/>
          <w:i w:val="false"/>
          <w:color w:val="000000"/>
          <w:sz w:val="22"/>
        </w:rPr>
        <w:t> </w:t>
      </w:r>
    </w:p>
    <w:p>
      <w:pPr>
        <w:spacing w:before="0" w:after="0"/>
        <w:ind w:left="0"/>
        <w:jc w:val="left"/>
      </w:pPr>
      <w:r>
        <w:rPr>
          <w:rFonts w:ascii="Times New Roman" w:hAnsi="Times New Roman"/>
          <w:b w:val="false"/>
          <w:i w:val="false"/>
          <w:color w:val="000000"/>
          <w:sz w:val="22"/>
        </w:rPr>
        <w:t>Cylinders in stationary service that are filled on site at the point of use and, therefore, are not under the jurisdiction of the DOT shall comply with one of the following criteria:</w:t>
      </w:r>
    </w:p>
    <w:p>
      <w:pPr>
        <w:spacing w:before="0" w:after="0"/>
        <w:ind w:left="120"/>
        <w:jc w:val="left"/>
      </w:pPr>
      <w:r>
        <w:rPr>
          <w:rFonts w:ascii="Times New Roman" w:hAnsi="Times New Roman"/>
          <w:b w:val="false"/>
          <w:i w:val="false"/>
          <w:color w:val="000000"/>
          <w:sz w:val="22"/>
        </w:rPr>
        <w:t>(1)</w:t>
      </w:r>
      <w:r>
        <w:rPr>
          <w:rFonts w:ascii="Times New Roman" w:hAnsi="Times New Roman"/>
          <w:b w:val="false"/>
          <w:i w:val="false"/>
          <w:color w:val="000000"/>
          <w:sz w:val="22"/>
        </w:rPr>
        <w:t> </w:t>
      </w:r>
    </w:p>
    <w:p>
      <w:pPr>
        <w:spacing w:before="0" w:after="0"/>
        <w:ind w:left="0"/>
        <w:jc w:val="left"/>
      </w:pPr>
      <w:r>
        <w:rPr>
          <w:rFonts w:ascii="Times New Roman" w:hAnsi="Times New Roman"/>
          <w:b w:val="false"/>
          <w:i w:val="false"/>
          <w:color w:val="000000"/>
          <w:sz w:val="22"/>
        </w:rPr>
        <w:t>The cylinders shall be requalified in accordance with DOT requirements.</w:t>
      </w:r>
    </w:p>
    <w:p>
      <w:pPr>
        <w:spacing w:before="0" w:after="0"/>
        <w:ind w:left="120"/>
        <w:jc w:val="left"/>
      </w:pPr>
      <w:r>
        <w:rPr>
          <w:rFonts w:ascii="Times New Roman" w:hAnsi="Times New Roman"/>
          <w:b w:val="false"/>
          <w:i w:val="false"/>
          <w:color w:val="000000"/>
          <w:sz w:val="22"/>
        </w:rPr>
        <w:t>(2)</w:t>
      </w:r>
      <w:r>
        <w:rPr>
          <w:rFonts w:ascii="Times New Roman" w:hAnsi="Times New Roman"/>
          <w:b w:val="false"/>
          <w:i w:val="false"/>
          <w:color w:val="000000"/>
          <w:sz w:val="22"/>
        </w:rPr>
        <w:t> </w:t>
      </w:r>
    </w:p>
    <w:p>
      <w:pPr>
        <w:spacing w:before="0" w:after="0"/>
        <w:ind w:left="0"/>
        <w:jc w:val="left"/>
      </w:pPr>
      <w:r>
        <w:rPr>
          <w:rFonts w:ascii="Times New Roman" w:hAnsi="Times New Roman"/>
          <w:b w:val="false"/>
          <w:i w:val="false"/>
          <w:color w:val="000000"/>
          <w:sz w:val="22"/>
        </w:rPr>
        <w:t>The cylinders shall be visually inspected within 12 years of the date of manufacture and within every 5 years thereafter, in accordance with 5.2.3.2 through 5.2.3.4.</w:t>
      </w:r>
    </w:p>
    <w:p>
      <w:pPr>
        <w:spacing w:before="0" w:after="0"/>
        <w:ind w:left="120"/>
        <w:jc w:val="left"/>
      </w:pPr>
      <w:r>
        <w:rPr>
          <w:rFonts w:ascii="Times New Roman" w:hAnsi="Times New Roman"/>
          <w:b/>
          <w:i w:val="false"/>
          <w:color w:val="000000"/>
          <w:sz w:val="22"/>
        </w:rPr>
        <w:t>5.2.3.2</w:t>
      </w:r>
      <w:r>
        <w:rPr>
          <w:rFonts w:ascii="Times New Roman" w:hAnsi="Times New Roman"/>
          <w:b w:val="false"/>
          <w:i w:val="false"/>
          <w:color w:val="000000"/>
          <w:sz w:val="22"/>
        </w:rPr>
        <w:t> </w:t>
      </w:r>
    </w:p>
    <w:p>
      <w:pPr>
        <w:spacing w:before="0" w:after="0"/>
        <w:ind w:left="0"/>
        <w:jc w:val="left"/>
      </w:pPr>
      <w:r>
        <w:rPr>
          <w:rFonts w:ascii="Times New Roman" w:hAnsi="Times New Roman"/>
          <w:b w:val="false"/>
          <w:i w:val="false"/>
          <w:color w:val="000000"/>
          <w:sz w:val="22"/>
        </w:rPr>
        <w:t>Any cylinder that fails to meet one or more of the criteria in 5.2.3.4 shall not be refilled or continued in service until the condition is corrected.</w:t>
      </w:r>
    </w:p>
    <w:p>
      <w:pPr>
        <w:spacing w:before="0" w:after="0"/>
        <w:ind w:left="120"/>
        <w:jc w:val="left"/>
      </w:pPr>
      <w:r>
        <w:rPr>
          <w:rFonts w:ascii="Times New Roman" w:hAnsi="Times New Roman"/>
          <w:b/>
          <w:i w:val="false"/>
          <w:color w:val="000000"/>
          <w:sz w:val="22"/>
        </w:rPr>
        <w:t>5.2.3.3</w:t>
      </w:r>
      <w:r>
        <w:rPr>
          <w:rFonts w:ascii="Times New Roman" w:hAnsi="Times New Roman"/>
          <w:b w:val="false"/>
          <w:i w:val="false"/>
          <w:color w:val="000000"/>
          <w:sz w:val="22"/>
        </w:rPr>
        <w:t> </w:t>
      </w:r>
    </w:p>
    <w:p>
      <w:pPr>
        <w:spacing w:before="0" w:after="0"/>
        <w:ind w:left="0"/>
        <w:jc w:val="left"/>
      </w:pPr>
      <w:r>
        <w:rPr>
          <w:rFonts w:ascii="Times New Roman" w:hAnsi="Times New Roman"/>
          <w:b w:val="false"/>
          <w:i w:val="false"/>
          <w:color w:val="000000"/>
          <w:sz w:val="22"/>
        </w:rPr>
        <w:t>Personnel shall be trained and qualified to perform inspections. Training shall be documented in accordance with rule  </w:t>
      </w:r>
      <w:hyperlink r:id="rId5">
        <w:r>
          <w:rPr>
            <w:rStyle w:val="Hyperlink"/>
            <w:rFonts w:ascii="Times New Roman" w:hAnsi="Times New Roman"/>
            <w:b w:val="false"/>
            <w:i w:val="false"/>
            <w:color w:val="000000"/>
            <w:sz w:val="22"/>
          </w:rPr>
          <w:t>661—226.4(101)</w:t>
        </w:r>
      </w:hyperlink>
      <w:r>
        <w:rPr>
          <w:rFonts w:ascii="Times New Roman" w:hAnsi="Times New Roman"/>
          <w:b w:val="false"/>
          <w:i w:val="false"/>
          <w:color w:val="000000"/>
          <w:sz w:val="22"/>
        </w:rPr>
        <w:t>.</w:t>
      </w:r>
    </w:p>
    <w:p>
      <w:pPr>
        <w:spacing w:before="0" w:after="0"/>
        <w:ind w:left="120"/>
        <w:jc w:val="left"/>
      </w:pPr>
      <w:r>
        <w:rPr>
          <w:rFonts w:ascii="Times New Roman" w:hAnsi="Times New Roman"/>
          <w:b/>
          <w:i w:val="false"/>
          <w:color w:val="000000"/>
          <w:sz w:val="22"/>
        </w:rPr>
        <w:t>5.2.3.4</w:t>
      </w:r>
      <w:r>
        <w:rPr>
          <w:rFonts w:ascii="Times New Roman" w:hAnsi="Times New Roman"/>
          <w:b w:val="false"/>
          <w:i w:val="false"/>
          <w:color w:val="000000"/>
          <w:sz w:val="22"/>
        </w:rPr>
        <w:t> </w:t>
      </w:r>
    </w:p>
    <w:p>
      <w:pPr>
        <w:spacing w:before="0" w:after="0"/>
        <w:ind w:left="0"/>
        <w:jc w:val="left"/>
      </w:pPr>
      <w:r>
        <w:rPr>
          <w:rFonts w:ascii="Times New Roman" w:hAnsi="Times New Roman"/>
          <w:b w:val="false"/>
          <w:i w:val="false"/>
          <w:color w:val="000000"/>
          <w:sz w:val="22"/>
        </w:rPr>
        <w:t>Visual inspection shall be performed in accordance with the following:</w:t>
      </w:r>
    </w:p>
    <w:p>
      <w:pPr>
        <w:spacing w:before="0" w:after="0"/>
        <w:ind w:left="120"/>
        <w:jc w:val="left"/>
      </w:pPr>
      <w:r>
        <w:rPr>
          <w:rFonts w:ascii="Times New Roman" w:hAnsi="Times New Roman"/>
          <w:b w:val="false"/>
          <w:i w:val="false"/>
          <w:color w:val="000000"/>
          <w:sz w:val="22"/>
        </w:rPr>
        <w:t>(1)</w:t>
      </w:r>
      <w:r>
        <w:rPr>
          <w:rFonts w:ascii="Times New Roman" w:hAnsi="Times New Roman"/>
          <w:b w:val="false"/>
          <w:i w:val="false"/>
          <w:color w:val="000000"/>
          <w:sz w:val="22"/>
        </w:rPr>
        <w:t> </w:t>
      </w:r>
    </w:p>
    <w:p>
      <w:pPr>
        <w:spacing w:before="0" w:after="0"/>
        <w:ind w:left="0"/>
        <w:jc w:val="left"/>
      </w:pPr>
      <w:r>
        <w:rPr>
          <w:rFonts w:ascii="Times New Roman" w:hAnsi="Times New Roman"/>
          <w:b w:val="false"/>
          <w:i w:val="false"/>
          <w:color w:val="000000"/>
          <w:sz w:val="22"/>
        </w:rPr>
        <w:t>The cylinder is checked for exposure to fire, dents, cuts, digs, gouges, and corrosion according to CGA C-6-2013, Standard for Visual Inspection of Steel Compressed Gas Cylinders, eleventh edition, except that 5.2.1.1(1) of that standard (which requires tare weight verification) shall not be part of the required inspection criteria.</w:t>
      </w:r>
    </w:p>
    <w:p>
      <w:pPr>
        <w:spacing w:before="0" w:after="0"/>
        <w:ind w:left="120"/>
        <w:jc w:val="left"/>
      </w:pPr>
      <w:r>
        <w:rPr>
          <w:rFonts w:ascii="Times New Roman" w:hAnsi="Times New Roman"/>
          <w:b w:val="false"/>
          <w:i w:val="false"/>
          <w:color w:val="000000"/>
          <w:sz w:val="22"/>
        </w:rPr>
        <w:t>(2)</w:t>
      </w:r>
      <w:r>
        <w:rPr>
          <w:rFonts w:ascii="Times New Roman" w:hAnsi="Times New Roman"/>
          <w:b w:val="false"/>
          <w:i w:val="false"/>
          <w:color w:val="000000"/>
          <w:sz w:val="22"/>
        </w:rPr>
        <w:t> </w:t>
      </w:r>
    </w:p>
    <w:p>
      <w:pPr>
        <w:spacing w:before="0" w:after="0"/>
        <w:ind w:left="0"/>
        <w:jc w:val="left"/>
      </w:pPr>
      <w:r>
        <w:rPr>
          <w:rFonts w:ascii="Times New Roman" w:hAnsi="Times New Roman"/>
          <w:b w:val="false"/>
          <w:i w:val="false"/>
          <w:color w:val="000000"/>
          <w:sz w:val="22"/>
        </w:rPr>
        <w:t>The cylinder protective collar (where utilized) and the foot ring are intact and are firmly attached.</w:t>
      </w:r>
    </w:p>
    <w:p>
      <w:pPr>
        <w:spacing w:before="0" w:after="0"/>
        <w:ind w:left="120"/>
        <w:jc w:val="left"/>
      </w:pPr>
      <w:r>
        <w:rPr>
          <w:rFonts w:ascii="Times New Roman" w:hAnsi="Times New Roman"/>
          <w:b w:val="false"/>
          <w:i w:val="false"/>
          <w:color w:val="000000"/>
          <w:sz w:val="22"/>
        </w:rPr>
        <w:t>(3)</w:t>
      </w:r>
      <w:r>
        <w:rPr>
          <w:rFonts w:ascii="Times New Roman" w:hAnsi="Times New Roman"/>
          <w:b w:val="false"/>
          <w:i w:val="false"/>
          <w:color w:val="000000"/>
          <w:sz w:val="22"/>
        </w:rPr>
        <w:t> </w:t>
      </w:r>
    </w:p>
    <w:p>
      <w:pPr>
        <w:spacing w:before="0" w:after="0"/>
        <w:ind w:left="0"/>
        <w:jc w:val="left"/>
      </w:pPr>
      <w:r>
        <w:rPr>
          <w:rFonts w:ascii="Times New Roman" w:hAnsi="Times New Roman"/>
          <w:b w:val="false"/>
          <w:i w:val="false"/>
          <w:color w:val="000000"/>
          <w:sz w:val="22"/>
        </w:rPr>
        <w:t>The cylinder is painted or coated to minimize corrosion.</w:t>
      </w:r>
    </w:p>
    <w:p>
      <w:pPr>
        <w:spacing w:before="0" w:after="0"/>
        <w:ind w:left="120"/>
        <w:jc w:val="left"/>
      </w:pPr>
      <w:r>
        <w:rPr>
          <w:rFonts w:ascii="Times New Roman" w:hAnsi="Times New Roman"/>
          <w:b w:val="false"/>
          <w:i w:val="false"/>
          <w:color w:val="000000"/>
          <w:sz w:val="22"/>
        </w:rPr>
        <w:t>(4)</w:t>
      </w:r>
      <w:r>
        <w:rPr>
          <w:rFonts w:ascii="Times New Roman" w:hAnsi="Times New Roman"/>
          <w:b w:val="false"/>
          <w:i w:val="false"/>
          <w:color w:val="000000"/>
          <w:sz w:val="22"/>
        </w:rPr>
        <w:t> </w:t>
      </w:r>
    </w:p>
    <w:p>
      <w:pPr>
        <w:spacing w:before="0" w:after="0"/>
        <w:ind w:left="0"/>
        <w:jc w:val="left"/>
      </w:pPr>
      <w:r>
        <w:rPr>
          <w:rFonts w:ascii="Times New Roman" w:hAnsi="Times New Roman"/>
          <w:b w:val="false"/>
          <w:i w:val="false"/>
          <w:color w:val="000000"/>
          <w:sz w:val="22"/>
        </w:rPr>
        <w:t>The cylinder pressure relief valve indicates no visible damage, corrosion of operating components, or obstructions.</w:t>
      </w:r>
    </w:p>
    <w:p>
      <w:pPr>
        <w:spacing w:before="0" w:after="0"/>
        <w:ind w:left="120"/>
        <w:jc w:val="left"/>
      </w:pPr>
      <w:r>
        <w:rPr>
          <w:rFonts w:ascii="Times New Roman" w:hAnsi="Times New Roman"/>
          <w:b w:val="false"/>
          <w:i w:val="false"/>
          <w:color w:val="000000"/>
          <w:sz w:val="22"/>
        </w:rPr>
        <w:t>(5)</w:t>
      </w:r>
      <w:r>
        <w:rPr>
          <w:rFonts w:ascii="Times New Roman" w:hAnsi="Times New Roman"/>
          <w:b w:val="false"/>
          <w:i w:val="false"/>
          <w:color w:val="000000"/>
          <w:sz w:val="22"/>
        </w:rPr>
        <w:t> </w:t>
      </w:r>
    </w:p>
    <w:p>
      <w:pPr>
        <w:spacing w:before="0" w:after="0"/>
        <w:ind w:left="0"/>
        <w:jc w:val="left"/>
      </w:pPr>
      <w:r>
        <w:rPr>
          <w:rFonts w:ascii="Times New Roman" w:hAnsi="Times New Roman"/>
          <w:b w:val="false"/>
          <w:i w:val="false"/>
          <w:color w:val="000000"/>
          <w:sz w:val="22"/>
        </w:rPr>
        <w:t>There is no leakage from the cylinder or its appurtenances that is detectable without the use of instruments.</w:t>
      </w:r>
    </w:p>
    <w:p>
      <w:pPr>
        <w:spacing w:before="0" w:after="0"/>
        <w:ind w:left="120"/>
        <w:jc w:val="left"/>
      </w:pPr>
      <w:r>
        <w:rPr>
          <w:rFonts w:ascii="Times New Roman" w:hAnsi="Times New Roman"/>
          <w:b w:val="false"/>
          <w:i w:val="false"/>
          <w:color w:val="000000"/>
          <w:sz w:val="22"/>
        </w:rPr>
        <w:t>(6)</w:t>
      </w:r>
      <w:r>
        <w:rPr>
          <w:rFonts w:ascii="Times New Roman" w:hAnsi="Times New Roman"/>
          <w:b w:val="false"/>
          <w:i w:val="false"/>
          <w:color w:val="000000"/>
          <w:sz w:val="22"/>
        </w:rPr>
        <w:t> </w:t>
      </w:r>
    </w:p>
    <w:p>
      <w:pPr>
        <w:spacing w:before="0" w:after="0"/>
        <w:ind w:left="0"/>
        <w:jc w:val="left"/>
      </w:pPr>
      <w:r>
        <w:rPr>
          <w:rFonts w:ascii="Times New Roman" w:hAnsi="Times New Roman"/>
          <w:b w:val="false"/>
          <w:i w:val="false"/>
          <w:color w:val="000000"/>
          <w:sz w:val="22"/>
        </w:rPr>
        <w:t>The cylinder is installed on a firm foundation and is not in contact with the soil.</w:t>
      </w:r>
    </w:p>
    <w:p>
      <w:pPr>
        <w:spacing w:before="0" w:after="0"/>
        <w:ind w:left="120"/>
        <w:jc w:val="left"/>
      </w:pPr>
      <w:r>
        <w:rPr>
          <w:rFonts w:ascii="Times New Roman" w:hAnsi="Times New Roman"/>
          <w:b w:val="false"/>
          <w:i w:val="false"/>
          <w:color w:val="000000"/>
          <w:sz w:val="22"/>
        </w:rPr>
        <w:t>(7)</w:t>
      </w:r>
      <w:r>
        <w:rPr>
          <w:rFonts w:ascii="Times New Roman" w:hAnsi="Times New Roman"/>
          <w:b w:val="false"/>
          <w:i w:val="false"/>
          <w:color w:val="000000"/>
          <w:sz w:val="22"/>
        </w:rPr>
        <w:t> </w:t>
      </w:r>
    </w:p>
    <w:p>
      <w:pPr>
        <w:spacing w:before="0" w:after="0"/>
        <w:ind w:left="0"/>
        <w:jc w:val="left"/>
      </w:pPr>
      <w:r>
        <w:rPr>
          <w:rFonts w:ascii="Times New Roman" w:hAnsi="Times New Roman"/>
          <w:b w:val="false"/>
          <w:i w:val="false"/>
          <w:color w:val="000000"/>
          <w:sz w:val="22"/>
        </w:rPr>
        <w:t>A cylinder that passes the visual examination is marked with the month and year of the examination followed by the letter E (e.g., “10-01E,” indicating requalification in October 2001 by the external inspection method) and the requalifier identification number (RIN) in accordance with the requalifying agency’s permit issued by the DOT.</w:t>
      </w:r>
    </w:p>
    <w:p>
      <w:pPr>
        <w:spacing w:before="0" w:after="0"/>
        <w:ind w:left="120"/>
        <w:jc w:val="left"/>
      </w:pPr>
      <w:r>
        <w:rPr>
          <w:rFonts w:ascii="Times New Roman" w:hAnsi="Times New Roman"/>
          <w:b w:val="false"/>
          <w:i w:val="false"/>
          <w:color w:val="000000"/>
          <w:sz w:val="22"/>
        </w:rPr>
        <w:t>(8)</w:t>
      </w:r>
      <w:r>
        <w:rPr>
          <w:rFonts w:ascii="Times New Roman" w:hAnsi="Times New Roman"/>
          <w:b w:val="false"/>
          <w:i w:val="false"/>
          <w:color w:val="000000"/>
          <w:sz w:val="22"/>
        </w:rPr>
        <w:t> </w:t>
      </w:r>
    </w:p>
    <w:p>
      <w:pPr>
        <w:spacing w:before="0" w:after="0"/>
        <w:ind w:left="0"/>
        <w:jc w:val="left"/>
      </w:pPr>
      <w:r>
        <w:rPr>
          <w:rFonts w:ascii="Times New Roman" w:hAnsi="Times New Roman"/>
          <w:b w:val="false"/>
          <w:i w:val="false"/>
          <w:color w:val="000000"/>
          <w:sz w:val="22"/>
        </w:rPr>
        <w:t>The results of the visual inspection are documented, and a record of the inspection is retained for a 5-year period or until the cylinder is again requalified, whichever occurs first.</w:t>
      </w:r>
    </w:p>
    <w:p>
      <w:pPr>
        <w:spacing w:before="0" w:after="0"/>
        <w:ind w:left="120"/>
        <w:jc w:val="left"/>
      </w:pPr>
      <w:r>
        <w:rPr>
          <w:rFonts w:ascii="Times New Roman" w:hAnsi="Times New Roman"/>
          <w:b w:val="false"/>
          <w:i w:val="false"/>
          <w:color w:val="000000"/>
          <w:sz w:val="22"/>
        </w:rPr>
        <w:t>Delete section 6.8.7.1 and insert in lieu thereof the following new section:</w:t>
      </w:r>
    </w:p>
    <w:p>
      <w:pPr>
        <w:spacing w:before="0" w:after="0"/>
        <w:ind w:left="120"/>
        <w:jc w:val="left"/>
      </w:pPr>
      <w:r>
        <w:rPr>
          <w:rFonts w:ascii="Times New Roman" w:hAnsi="Times New Roman"/>
          <w:b/>
          <w:i w:val="false"/>
          <w:color w:val="000000"/>
          <w:sz w:val="22"/>
        </w:rPr>
        <w:t>6.8.7.1</w:t>
      </w:r>
      <w:r>
        <w:rPr>
          <w:rFonts w:ascii="Times New Roman" w:hAnsi="Times New Roman"/>
          <w:b w:val="false"/>
          <w:i w:val="false"/>
          <w:color w:val="000000"/>
          <w:sz w:val="22"/>
        </w:rPr>
        <w:t> </w:t>
      </w:r>
    </w:p>
    <w:p>
      <w:pPr>
        <w:spacing w:before="0" w:after="0"/>
        <w:ind w:left="0"/>
        <w:jc w:val="left"/>
      </w:pPr>
      <w:r>
        <w:rPr>
          <w:rFonts w:ascii="Times New Roman" w:hAnsi="Times New Roman"/>
          <w:b w:val="false"/>
          <w:i w:val="false"/>
          <w:color w:val="000000"/>
          <w:sz w:val="22"/>
        </w:rPr>
        <w:t>Installation of permanent, stationary containers on roofs of buildings shall be prohibited.</w:t>
      </w:r>
    </w:p>
    <w:p>
      <w:pPr>
        <w:spacing w:before="0" w:after="0"/>
        <w:ind w:left="120"/>
        <w:jc w:val="left"/>
      </w:pPr>
      <w:r>
        <w:rPr>
          <w:rFonts w:ascii="Times New Roman" w:hAnsi="Times New Roman"/>
          <w:b w:val="false"/>
          <w:i w:val="false"/>
          <w:color w:val="000000"/>
          <w:sz w:val="22"/>
        </w:rPr>
        <w:t>Delete section 6.8.7.2.</w:t>
      </w:r>
    </w:p>
    <w:p>
      <w:pPr>
        <w:spacing w:before="0" w:after="0"/>
        <w:ind w:left="120"/>
        <w:jc w:val="left"/>
      </w:pPr>
      <w:r>
        <w:rPr>
          <w:rFonts w:ascii="Times New Roman" w:hAnsi="Times New Roman"/>
          <w:b w:val="false"/>
          <w:i w:val="false"/>
          <w:color w:val="000000"/>
          <w:sz w:val="22"/>
        </w:rPr>
        <w:t>Delete section 6.9.2.7 and insert in lieu thereof the following new section:</w:t>
      </w:r>
    </w:p>
    <w:p>
      <w:pPr>
        <w:spacing w:before="0" w:after="0"/>
        <w:ind w:left="120"/>
        <w:jc w:val="left"/>
      </w:pPr>
      <w:r>
        <w:rPr>
          <w:rFonts w:ascii="Times New Roman" w:hAnsi="Times New Roman"/>
          <w:b/>
          <w:i w:val="false"/>
          <w:color w:val="000000"/>
          <w:sz w:val="22"/>
        </w:rPr>
        <w:t>6.9.2.7</w:t>
      </w:r>
      <w:r>
        <w:rPr>
          <w:rFonts w:ascii="Times New Roman" w:hAnsi="Times New Roman"/>
          <w:b w:val="false"/>
          <w:i w:val="false"/>
          <w:color w:val="000000"/>
          <w:sz w:val="22"/>
        </w:rPr>
        <w:t> </w:t>
      </w:r>
    </w:p>
    <w:p>
      <w:pPr>
        <w:spacing w:before="0" w:after="0"/>
        <w:ind w:left="0"/>
        <w:jc w:val="left"/>
      </w:pPr>
      <w:r>
        <w:rPr>
          <w:rFonts w:ascii="Times New Roman" w:hAnsi="Times New Roman"/>
          <w:b w:val="false"/>
          <w:i w:val="false"/>
          <w:color w:val="000000"/>
          <w:sz w:val="22"/>
        </w:rPr>
        <w:t>The pressure relief valve discharge on each aboveground container of more than 2000-gal (7.6 m</w:t>
      </w:r>
      <w:r>
        <w:rPr>
          <w:rFonts w:ascii="Times New Roman" w:hAnsi="Times New Roman"/>
          <w:b w:val="false"/>
          <w:i w:val="false"/>
          <w:color w:val="000000"/>
          <w:sz w:val="18"/>
          <w:vertAlign w:val="superscript"/>
        </w:rPr>
        <w:t>3</w:t>
      </w:r>
      <w:r>
        <w:rPr>
          <w:rFonts w:ascii="Times New Roman" w:hAnsi="Times New Roman"/>
          <w:b w:val="false"/>
          <w:i w:val="false"/>
          <w:color w:val="000000"/>
          <w:sz w:val="22"/>
        </w:rPr>
        <w:t>) water capacity shall be piped vertically upward to a point at least 7 ft (2.1 m) above the top of the container, and the discharge opening shall be unobstructed to the open air.</w:t>
      </w:r>
    </w:p>
    <w:p>
      <w:pPr>
        <w:spacing w:before="0" w:after="0"/>
        <w:ind w:left="120"/>
        <w:jc w:val="left"/>
      </w:pPr>
      <w:r>
        <w:rPr>
          <w:rFonts w:ascii="Times New Roman" w:hAnsi="Times New Roman"/>
          <w:b w:val="false"/>
          <w:i w:val="false"/>
          <w:color w:val="000000"/>
          <w:sz w:val="22"/>
        </w:rPr>
        <w:t>Delete section 6.11.3.14 and insert in lieu thereof the following new section:</w:t>
      </w:r>
    </w:p>
    <w:p>
      <w:pPr>
        <w:spacing w:before="0" w:after="0"/>
        <w:ind w:left="120"/>
        <w:jc w:val="left"/>
      </w:pPr>
      <w:r>
        <w:rPr>
          <w:rFonts w:ascii="Times New Roman" w:hAnsi="Times New Roman"/>
          <w:b/>
          <w:i w:val="false"/>
          <w:color w:val="000000"/>
          <w:sz w:val="22"/>
        </w:rPr>
        <w:t>6.11.3.14</w:t>
      </w:r>
      <w:r>
        <w:rPr>
          <w:rFonts w:ascii="Times New Roman" w:hAnsi="Times New Roman"/>
          <w:b w:val="false"/>
          <w:i w:val="false"/>
          <w:color w:val="000000"/>
          <w:sz w:val="22"/>
        </w:rPr>
        <w:t> </w:t>
      </w:r>
    </w:p>
    <w:p>
      <w:pPr>
        <w:spacing w:before="0" w:after="0"/>
        <w:ind w:left="0"/>
        <w:jc w:val="left"/>
      </w:pPr>
      <w:r>
        <w:rPr>
          <w:rFonts w:ascii="Times New Roman" w:hAnsi="Times New Roman"/>
          <w:b w:val="false"/>
          <w:i w:val="false"/>
          <w:color w:val="000000"/>
          <w:sz w:val="22"/>
        </w:rPr>
        <w:t>Metallic piping shall be protected against corrosion in accordance with 6.11.3.14(A) through 6.11.3.14(C). Underground gas piping that is outside a building shall not be in physical contact with any concrete.</w:t>
      </w:r>
    </w:p>
    <w:p>
      <w:pPr>
        <w:spacing w:before="0" w:after="0"/>
        <w:ind w:left="120"/>
        <w:jc w:val="left"/>
      </w:pPr>
      <w:r>
        <w:rPr>
          <w:rFonts w:ascii="Times New Roman" w:hAnsi="Times New Roman"/>
          <w:b w:val="false"/>
          <w:i w:val="false"/>
          <w:color w:val="000000"/>
          <w:sz w:val="22"/>
        </w:rPr>
        <w:t>(A)</w:t>
      </w:r>
      <w:r>
        <w:rPr>
          <w:rFonts w:ascii="Times New Roman" w:hAnsi="Times New Roman"/>
          <w:b w:val="false"/>
          <w:i w:val="false"/>
          <w:color w:val="000000"/>
          <w:sz w:val="22"/>
        </w:rPr>
        <w:t> </w:t>
      </w:r>
    </w:p>
    <w:p>
      <w:pPr>
        <w:spacing w:before="0" w:after="0"/>
        <w:ind w:left="0"/>
        <w:jc w:val="left"/>
      </w:pPr>
      <w:r>
        <w:rPr>
          <w:rFonts w:ascii="Times New Roman" w:hAnsi="Times New Roman"/>
          <w:b w:val="false"/>
          <w:i w:val="false"/>
          <w:color w:val="000000"/>
          <w:sz w:val="22"/>
        </w:rPr>
        <w:t>Piping and tubing of 1-inch (25 mm) nominal diameter or smaller shall be protected in accordance with 6.19.1 or 6.19.2.</w:t>
      </w:r>
    </w:p>
    <w:p>
      <w:pPr>
        <w:spacing w:before="0" w:after="0"/>
        <w:ind w:left="120"/>
        <w:jc w:val="left"/>
      </w:pPr>
      <w:r>
        <w:rPr>
          <w:rFonts w:ascii="Times New Roman" w:hAnsi="Times New Roman"/>
          <w:b w:val="false"/>
          <w:i w:val="false"/>
          <w:color w:val="000000"/>
          <w:sz w:val="22"/>
        </w:rPr>
        <w:t>(B)</w:t>
      </w:r>
      <w:r>
        <w:rPr>
          <w:rFonts w:ascii="Times New Roman" w:hAnsi="Times New Roman"/>
          <w:b w:val="false"/>
          <w:i w:val="false"/>
          <w:color w:val="000000"/>
          <w:sz w:val="22"/>
        </w:rPr>
        <w:t> </w:t>
      </w:r>
    </w:p>
    <w:p>
      <w:pPr>
        <w:spacing w:before="0" w:after="0"/>
        <w:ind w:left="0"/>
        <w:jc w:val="left"/>
      </w:pPr>
      <w:r>
        <w:rPr>
          <w:rFonts w:ascii="Times New Roman" w:hAnsi="Times New Roman"/>
          <w:b w:val="false"/>
          <w:i w:val="false"/>
          <w:color w:val="000000"/>
          <w:sz w:val="22"/>
        </w:rPr>
        <w:t>Piping and tubing larger than 1-inch (25 mm) nominal diameter and installed aboveground shall be protected in accordance with 6.19.1.</w:t>
      </w:r>
    </w:p>
    <w:p>
      <w:pPr>
        <w:spacing w:before="0" w:after="0"/>
        <w:ind w:left="120"/>
        <w:jc w:val="left"/>
      </w:pPr>
      <w:r>
        <w:rPr>
          <w:rFonts w:ascii="Times New Roman" w:hAnsi="Times New Roman"/>
          <w:b w:val="false"/>
          <w:i w:val="false"/>
          <w:color w:val="000000"/>
          <w:sz w:val="22"/>
        </w:rPr>
        <w:t>(C)</w:t>
      </w:r>
      <w:r>
        <w:rPr>
          <w:rFonts w:ascii="Times New Roman" w:hAnsi="Times New Roman"/>
          <w:b w:val="false"/>
          <w:i w:val="false"/>
          <w:color w:val="000000"/>
          <w:sz w:val="22"/>
        </w:rPr>
        <w:t> </w:t>
      </w:r>
    </w:p>
    <w:p>
      <w:pPr>
        <w:spacing w:before="0" w:after="0"/>
        <w:ind w:left="0"/>
        <w:jc w:val="left"/>
      </w:pPr>
      <w:r>
        <w:rPr>
          <w:rFonts w:ascii="Times New Roman" w:hAnsi="Times New Roman"/>
          <w:b w:val="false"/>
          <w:i w:val="false"/>
          <w:color w:val="000000"/>
          <w:sz w:val="22"/>
        </w:rPr>
        <w:t>Steel piping installed underground shall have a cathodic protection system in accordance with 6.19.2(C) unless technical justification is approved by the Authority Having Jurisdiction.</w:t>
      </w:r>
    </w:p>
    <w:p>
      <w:pPr>
        <w:spacing w:before="0" w:after="0"/>
        <w:ind w:left="120"/>
        <w:jc w:val="left"/>
      </w:pPr>
      <w:r>
        <w:rPr>
          <w:rFonts w:ascii="Times New Roman" w:hAnsi="Times New Roman"/>
          <w:b w:val="false"/>
          <w:i w:val="false"/>
          <w:color w:val="000000"/>
          <w:sz w:val="22"/>
        </w:rPr>
        <w:t>Delete section 6.16 in its entirety.</w:t>
      </w:r>
    </w:p>
    <w:p>
      <w:pPr>
        <w:spacing w:before="0" w:after="0"/>
        <w:ind w:left="120"/>
        <w:jc w:val="left"/>
      </w:pPr>
      <w:r>
        <w:rPr>
          <w:rFonts w:ascii="Times New Roman" w:hAnsi="Times New Roman"/>
          <w:b w:val="false"/>
          <w:i w:val="false"/>
          <w:color w:val="000000"/>
          <w:sz w:val="22"/>
        </w:rPr>
        <w:t>Delete section 6.17 in its entirety.</w:t>
      </w:r>
    </w:p>
    <w:p>
      <w:pPr>
        <w:spacing w:before="0" w:after="0"/>
        <w:ind w:left="120"/>
        <w:jc w:val="left"/>
      </w:pPr>
      <w:r>
        <w:rPr>
          <w:rFonts w:ascii="Times New Roman" w:hAnsi="Times New Roman"/>
          <w:b w:val="false"/>
          <w:i w:val="false"/>
          <w:color w:val="000000"/>
          <w:sz w:val="22"/>
        </w:rPr>
        <w:t>Delete paragraph 6.22.1.2(C) and insert in lieu thereof the following new paragraph:</w:t>
      </w:r>
    </w:p>
    <w:p>
      <w:pPr>
        <w:spacing w:before="0" w:after="0"/>
        <w:ind w:left="120"/>
        <w:jc w:val="left"/>
      </w:pPr>
      <w:r>
        <w:rPr>
          <w:rFonts w:ascii="Times New Roman" w:hAnsi="Times New Roman"/>
          <w:b/>
          <w:i w:val="false"/>
          <w:color w:val="000000"/>
          <w:sz w:val="22"/>
        </w:rPr>
        <w:t>6.22.1.2(C)</w:t>
      </w:r>
      <w:r>
        <w:rPr>
          <w:rFonts w:ascii="Times New Roman" w:hAnsi="Times New Roman"/>
          <w:b w:val="false"/>
          <w:i w:val="false"/>
          <w:color w:val="000000"/>
          <w:sz w:val="22"/>
        </w:rPr>
        <w:t> </w:t>
      </w:r>
    </w:p>
    <w:p>
      <w:pPr>
        <w:spacing w:before="0" w:after="0"/>
        <w:ind w:left="0"/>
        <w:jc w:val="left"/>
      </w:pPr>
      <w:r>
        <w:rPr>
          <w:rFonts w:ascii="Times New Roman" w:hAnsi="Times New Roman"/>
          <w:b w:val="false"/>
          <w:i w:val="false"/>
          <w:color w:val="000000"/>
          <w:sz w:val="22"/>
        </w:rPr>
        <w:t>Cylinders installed permanently on roofs of buildings shall be prohibited.</w:t>
      </w:r>
    </w:p>
    <w:p>
      <w:pPr>
        <w:spacing w:before="0" w:after="0"/>
        <w:ind w:left="120"/>
        <w:jc w:val="left"/>
      </w:pPr>
      <w:r>
        <w:rPr>
          <w:rFonts w:ascii="Times New Roman" w:hAnsi="Times New Roman"/>
          <w:b w:val="false"/>
          <w:i w:val="false"/>
          <w:color w:val="000000"/>
          <w:sz w:val="22"/>
        </w:rPr>
        <w:t>Delete section 6.22.11.1, including paragraphs (A) through (F), and insert in lieu thereof the following new section:</w:t>
      </w:r>
    </w:p>
    <w:p>
      <w:pPr>
        <w:spacing w:before="0" w:after="0"/>
        <w:ind w:left="120"/>
        <w:jc w:val="left"/>
      </w:pPr>
      <w:r>
        <w:rPr>
          <w:rFonts w:ascii="Times New Roman" w:hAnsi="Times New Roman"/>
          <w:b/>
          <w:i w:val="false"/>
          <w:color w:val="000000"/>
          <w:sz w:val="22"/>
        </w:rPr>
        <w:t>6.22.11.1</w:t>
      </w:r>
      <w:r>
        <w:rPr>
          <w:rFonts w:ascii="Times New Roman" w:hAnsi="Times New Roman"/>
          <w:b w:val="false"/>
          <w:i w:val="false"/>
          <w:color w:val="000000"/>
          <w:sz w:val="22"/>
        </w:rPr>
        <w:t> </w:t>
      </w:r>
    </w:p>
    <w:p>
      <w:pPr>
        <w:spacing w:before="0" w:after="0"/>
        <w:ind w:left="0"/>
        <w:jc w:val="left"/>
      </w:pPr>
      <w:r>
        <w:rPr>
          <w:rFonts w:ascii="Times New Roman" w:hAnsi="Times New Roman"/>
          <w:b w:val="false"/>
          <w:i w:val="false"/>
          <w:color w:val="000000"/>
          <w:sz w:val="22"/>
        </w:rPr>
        <w:t>Cylinders installed permanently on roofs of buildings shall be prohibited.</w:t>
      </w:r>
    </w:p>
    <w:p>
      <w:pPr>
        <w:spacing w:before="0" w:after="0"/>
        <w:ind w:left="120"/>
        <w:jc w:val="left"/>
      </w:pPr>
      <w:r>
        <w:rPr>
          <w:rFonts w:ascii="Times New Roman" w:hAnsi="Times New Roman"/>
          <w:b w:val="false"/>
          <w:i w:val="false"/>
          <w:color w:val="000000"/>
          <w:sz w:val="22"/>
        </w:rPr>
        <w:t>Delete section 6.22.11.2.</w:t>
      </w:r>
    </w:p>
    <w:p>
      <w:pPr>
        <w:spacing w:before="0" w:after="0"/>
        <w:ind w:left="120"/>
        <w:jc w:val="left"/>
      </w:pPr>
      <w:r>
        <w:rPr>
          <w:rFonts w:ascii="Times New Roman" w:hAnsi="Times New Roman"/>
          <w:b w:val="false"/>
          <w:i w:val="false"/>
          <w:color w:val="000000"/>
          <w:sz w:val="22"/>
        </w:rPr>
        <w:t>Delete section 7.2.1.1 and insert in lieu thereof the following new section:</w:t>
      </w:r>
    </w:p>
    <w:p>
      <w:pPr>
        <w:spacing w:before="0" w:after="0"/>
        <w:ind w:left="120"/>
        <w:jc w:val="left"/>
      </w:pPr>
      <w:r>
        <w:rPr>
          <w:rFonts w:ascii="Times New Roman" w:hAnsi="Times New Roman"/>
          <w:b/>
          <w:i w:val="false"/>
          <w:color w:val="000000"/>
          <w:sz w:val="22"/>
        </w:rPr>
        <w:t>7.2.1.1</w:t>
      </w:r>
      <w:r>
        <w:rPr>
          <w:rFonts w:ascii="Times New Roman" w:hAnsi="Times New Roman"/>
          <w:b w:val="false"/>
          <w:i w:val="false"/>
          <w:color w:val="000000"/>
          <w:sz w:val="22"/>
        </w:rPr>
        <w:t> </w:t>
      </w:r>
    </w:p>
    <w:p>
      <w:pPr>
        <w:spacing w:before="0" w:after="0"/>
        <w:ind w:left="0"/>
        <w:jc w:val="left"/>
      </w:pPr>
      <w:r>
        <w:rPr>
          <w:rFonts w:ascii="Times New Roman" w:hAnsi="Times New Roman"/>
          <w:b w:val="false"/>
          <w:i w:val="false"/>
          <w:color w:val="000000"/>
          <w:sz w:val="22"/>
        </w:rPr>
        <w:t>Transfer operations shall be conducted by qualified personnel meeting the provisions of rule  </w:t>
      </w:r>
      <w:hyperlink r:id="rId6">
        <w:r>
          <w:rPr>
            <w:rStyle w:val="Hyperlink"/>
            <w:rFonts w:ascii="Times New Roman" w:hAnsi="Times New Roman"/>
            <w:b w:val="false"/>
            <w:i w:val="false"/>
            <w:color w:val="000000"/>
            <w:sz w:val="22"/>
          </w:rPr>
          <w:t>661—226.4(101)</w:t>
        </w:r>
      </w:hyperlink>
      <w:r>
        <w:rPr>
          <w:rFonts w:ascii="Times New Roman" w:hAnsi="Times New Roman"/>
          <w:b w:val="false"/>
          <w:i w:val="false"/>
          <w:color w:val="000000"/>
          <w:sz w:val="22"/>
        </w:rPr>
        <w:t>.</w:t>
      </w:r>
    </w:p>
    <w:p>
      <w:pPr>
        <w:spacing w:before="0" w:after="0"/>
        <w:ind w:left="120"/>
        <w:jc w:val="left"/>
      </w:pPr>
      <w:r>
        <w:rPr>
          <w:rFonts w:ascii="Times New Roman" w:hAnsi="Times New Roman"/>
          <w:b w:val="false"/>
          <w:i w:val="false"/>
          <w:color w:val="000000"/>
          <w:sz w:val="22"/>
        </w:rPr>
        <w:t>Delete section 11.2 and insert in lieu thereof the following new section:</w:t>
      </w:r>
    </w:p>
    <w:p>
      <w:pPr>
        <w:spacing w:before="0" w:after="0"/>
        <w:ind w:left="120"/>
        <w:jc w:val="left"/>
      </w:pPr>
      <w:r>
        <w:rPr>
          <w:rFonts w:ascii="Times New Roman" w:hAnsi="Times New Roman"/>
          <w:b/>
          <w:i w:val="false"/>
          <w:color w:val="000000"/>
          <w:sz w:val="22"/>
        </w:rPr>
        <w:t>11.2</w:t>
      </w:r>
      <w:r>
        <w:rPr>
          <w:rFonts w:ascii="Times New Roman" w:hAnsi="Times New Roman"/>
          <w:b w:val="false"/>
          <w:i w:val="false"/>
          <w:color w:val="000000"/>
          <w:sz w:val="22"/>
        </w:rPr>
        <w:t> </w:t>
      </w:r>
    </w:p>
    <w:p>
      <w:pPr>
        <w:spacing w:before="0" w:after="0"/>
        <w:ind w:left="0"/>
        <w:jc w:val="left"/>
      </w:pPr>
      <w:r>
        <w:rPr>
          <w:rFonts w:ascii="Times New Roman" w:hAnsi="Times New Roman"/>
          <w:b w:val="false"/>
          <w:i w:val="false"/>
          <w:color w:val="000000"/>
          <w:sz w:val="22"/>
        </w:rPr>
        <w:t>Each person engaged in installing, repairing, filling, or otherwise servicing an LP-gas engine fuel system shall be trained in accordance with rule  </w:t>
      </w:r>
      <w:hyperlink r:id="rId7">
        <w:r>
          <w:rPr>
            <w:rStyle w:val="Hyperlink"/>
            <w:rFonts w:ascii="Times New Roman" w:hAnsi="Times New Roman"/>
            <w:b w:val="false"/>
            <w:i w:val="false"/>
            <w:color w:val="000000"/>
            <w:sz w:val="22"/>
          </w:rPr>
          <w:t>661—226.4</w:t>
        </w:r>
      </w:hyperlink>
      <w:r>
        <w:rPr>
          <w:rFonts w:ascii="Times New Roman" w:hAnsi="Times New Roman"/>
          <w:b w:val="false"/>
          <w:i w:val="false"/>
          <w:color w:val="000000"/>
          <w:sz w:val="22"/>
        </w:rPr>
        <w:t>(101) and trained under the applicable installation and maintenance procedures established by the manufacturer.</w:t>
      </w:r>
    </w:p>
    <w:p>
      <w:pPr>
        <w:spacing w:before="0" w:after="0"/>
        <w:ind w:left="120"/>
        <w:jc w:val="left"/>
      </w:pPr>
      <w:r>
        <w:rPr>
          <w:rFonts w:ascii="Times New Roman" w:hAnsi="Times New Roman"/>
          <w:b w:val="false"/>
          <w:i w:val="false"/>
          <w:color w:val="000000"/>
          <w:sz w:val="22"/>
        </w:rPr>
        <w:t>Delete section 12.4.7.4.3 and insert in lieu thereof the following new section:</w:t>
      </w:r>
    </w:p>
    <w:p>
      <w:pPr>
        <w:spacing w:before="0" w:after="0"/>
        <w:ind w:left="120"/>
        <w:jc w:val="left"/>
      </w:pPr>
      <w:r>
        <w:rPr>
          <w:rFonts w:ascii="Times New Roman" w:hAnsi="Times New Roman"/>
          <w:b/>
          <w:i w:val="false"/>
          <w:color w:val="000000"/>
          <w:sz w:val="22"/>
        </w:rPr>
        <w:t>12.4.7.4.3</w:t>
      </w:r>
      <w:r>
        <w:rPr>
          <w:rFonts w:ascii="Times New Roman" w:hAnsi="Times New Roman"/>
          <w:b w:val="false"/>
          <w:i w:val="false"/>
          <w:color w:val="000000"/>
          <w:sz w:val="22"/>
        </w:rPr>
        <w:t xml:space="preserve"> A label indicating the date of the successful test and/or the date of the next required verification test shall be affixed in a clearly identified and easily accessible location. A clearly identified and easily accessible location could be (1) on the container near the fill point, (2) on the stepwell of a bus, (3) on the inside of the doorframe nearest the remote fill location on the vehicle, or (4) on another location as approved by the Authority Having Jurisdiction (AHJ).</w:t>
      </w:r>
    </w:p>
    <w:p>
      <w:pPr>
        <w:spacing w:before="0" w:after="0"/>
        <w:ind w:left="120"/>
        <w:jc w:val="left"/>
      </w:pPr>
      <w:r>
        <w:rPr>
          <w:rFonts w:ascii="Times New Roman" w:hAnsi="Times New Roman"/>
          <w:b w:val="false"/>
          <w:i w:val="false"/>
          <w:color w:val="000000"/>
          <w:sz w:val="22"/>
        </w:rPr>
        <w:t>Delete section 12.5.2.1 and insert in lieu thereof the following new section:</w:t>
      </w:r>
    </w:p>
    <w:p>
      <w:pPr>
        <w:spacing w:before="0" w:after="0"/>
        <w:ind w:left="120"/>
        <w:jc w:val="left"/>
      </w:pPr>
      <w:r>
        <w:rPr>
          <w:rFonts w:ascii="Times New Roman" w:hAnsi="Times New Roman"/>
          <w:b/>
          <w:i w:val="false"/>
          <w:color w:val="000000"/>
          <w:sz w:val="22"/>
        </w:rPr>
        <w:t>12.5.2.1</w:t>
      </w:r>
      <w:r>
        <w:rPr>
          <w:rFonts w:ascii="Times New Roman" w:hAnsi="Times New Roman"/>
          <w:b w:val="false"/>
          <w:i w:val="false"/>
          <w:color w:val="000000"/>
          <w:sz w:val="22"/>
        </w:rPr>
        <w:t>* Each person engaged in installing or maintaining an LP-gas engine fuel system shall be trained as follows:</w:t>
      </w:r>
    </w:p>
    <w:p>
      <w:pPr>
        <w:spacing w:before="0" w:after="0"/>
        <w:ind w:left="120"/>
        <w:jc w:val="left"/>
      </w:pPr>
      <w:r>
        <w:rPr>
          <w:rFonts w:ascii="Times New Roman" w:hAnsi="Times New Roman"/>
          <w:b w:val="false"/>
          <w:i w:val="false"/>
          <w:color w:val="000000"/>
          <w:sz w:val="22"/>
        </w:rPr>
        <w:t>     1.   </w:t>
      </w:r>
      <w:r>
        <w:rPr>
          <w:rFonts w:ascii="Times New Roman" w:hAnsi="Times New Roman"/>
          <w:b w:val="false"/>
          <w:i w:val="false"/>
          <w:color w:val="000000"/>
          <w:sz w:val="22"/>
        </w:rPr>
        <w:t xml:space="preserve">In accordance with rule </w:t>
      </w:r>
      <w:hyperlink r:id="rId8">
        <w:r>
          <w:rPr>
            <w:rStyle w:val="Hyperlink"/>
            <w:rFonts w:ascii="Times New Roman" w:hAnsi="Times New Roman"/>
            <w:b w:val="false"/>
            <w:i w:val="false"/>
            <w:color w:val="000000"/>
            <w:sz w:val="22"/>
          </w:rPr>
          <w:t>661—226.4</w:t>
        </w:r>
      </w:hyperlink>
      <w:r>
        <w:rPr>
          <w:rFonts w:ascii="Times New Roman" w:hAnsi="Times New Roman"/>
          <w:b w:val="false"/>
          <w:i w:val="false"/>
          <w:color w:val="000000"/>
          <w:sz w:val="22"/>
        </w:rPr>
        <w:t>(101).</w:t>
      </w:r>
    </w:p>
    <w:p>
      <w:pPr>
        <w:spacing w:before="0" w:after="0"/>
        <w:ind w:left="120"/>
        <w:jc w:val="left"/>
      </w:pPr>
      <w:r>
        <w:rPr>
          <w:rFonts w:ascii="Times New Roman" w:hAnsi="Times New Roman"/>
          <w:b w:val="false"/>
          <w:i w:val="false"/>
          <w:color w:val="000000"/>
          <w:sz w:val="22"/>
        </w:rPr>
        <w:t>     2.   </w:t>
      </w:r>
      <w:r>
        <w:rPr>
          <w:rFonts w:ascii="Times New Roman" w:hAnsi="Times New Roman"/>
          <w:b w:val="false"/>
          <w:i w:val="false"/>
          <w:color w:val="000000"/>
          <w:sz w:val="22"/>
        </w:rPr>
        <w:t>With general training on the nature of LP-gas engine fuel systems and their components.</w:t>
      </w:r>
    </w:p>
    <w:p>
      <w:pPr>
        <w:spacing w:before="0" w:after="0"/>
        <w:ind w:left="120"/>
        <w:jc w:val="left"/>
      </w:pPr>
      <w:r>
        <w:rPr>
          <w:rFonts w:ascii="Times New Roman" w:hAnsi="Times New Roman"/>
          <w:b w:val="false"/>
          <w:i w:val="false"/>
          <w:color w:val="000000"/>
          <w:sz w:val="22"/>
        </w:rPr>
        <w:t>     3.   </w:t>
      </w:r>
      <w:r>
        <w:rPr>
          <w:rFonts w:ascii="Times New Roman" w:hAnsi="Times New Roman"/>
          <w:b w:val="false"/>
          <w:i w:val="false"/>
          <w:color w:val="000000"/>
          <w:sz w:val="22"/>
        </w:rPr>
        <w:t>With training on the specific LP-gas engine fuel system to be installed or maintained.</w:t>
      </w:r>
    </w:p>
    <w:p>
      <w:pPr>
        <w:spacing w:before="0" w:after="0"/>
        <w:ind w:left="120"/>
        <w:jc w:val="left"/>
      </w:pPr>
      <w:r>
        <w:rPr>
          <w:rFonts w:ascii="Times New Roman" w:hAnsi="Times New Roman"/>
          <w:b w:val="false"/>
          <w:i w:val="false"/>
          <w:color w:val="000000"/>
          <w:sz w:val="22"/>
        </w:rPr>
        <w:t>All training shall be documented.</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9235B</w:t>
      </w:r>
      <w:r>
        <w:rPr>
          <w:rFonts w:ascii="Times New Roman" w:hAnsi="Times New Roman"/>
          <w:b w:val="false"/>
          <w:i w:val="false"/>
          <w:color w:val="000000"/>
          <w:sz w:val="16"/>
        </w:rPr>
        <w:t>, IAB 11/17/10, effective 1/1/11</w:t>
      </w:r>
      <w:r>
        <w:rPr>
          <w:rFonts w:ascii="Times New Roman" w:hAnsi="Times New Roman"/>
          <w:b w:val="false"/>
          <w:i w:val="false"/>
          <w:color w:val="000000"/>
          <w:sz w:val="16"/>
        </w:rPr>
        <w:t xml:space="preserve">; </w:t>
      </w:r>
      <w:r>
        <w:rPr>
          <w:rFonts w:ascii="Times New Roman" w:hAnsi="Times New Roman"/>
          <w:b/>
          <w:i w:val="false"/>
          <w:color w:val="000000"/>
          <w:sz w:val="16"/>
        </w:rPr>
        <w:t>ARC 1868C</w:t>
      </w:r>
      <w:r>
        <w:rPr>
          <w:rFonts w:ascii="Times New Roman" w:hAnsi="Times New Roman"/>
          <w:b w:val="false"/>
          <w:i w:val="false"/>
          <w:color w:val="000000"/>
          <w:sz w:val="16"/>
        </w:rPr>
        <w:t>, IAB 2/18/15, effective 3/25/15</w:t>
      </w:r>
      <w:r>
        <w:rPr>
          <w:rFonts w:ascii="Times New Roman" w:hAnsi="Times New Roman"/>
          <w:b w:val="false"/>
          <w:i w:val="false"/>
          <w:color w:val="000000"/>
          <w:sz w:val="16"/>
        </w:rPr>
        <w:t xml:space="preserve">; </w:t>
      </w:r>
      <w:r>
        <w:rPr>
          <w:rFonts w:ascii="Times New Roman" w:hAnsi="Times New Roman"/>
          <w:b/>
          <w:i w:val="false"/>
          <w:color w:val="000000"/>
          <w:sz w:val="16"/>
        </w:rPr>
        <w:t>ARC 4642C</w:t>
      </w:r>
      <w:r>
        <w:rPr>
          <w:rFonts w:ascii="Times New Roman" w:hAnsi="Times New Roman"/>
          <w:b w:val="false"/>
          <w:i w:val="false"/>
          <w:color w:val="000000"/>
          <w:sz w:val="16"/>
        </w:rPr>
        <w:t>, IAB 8/28/19, effective 10/2/19</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661.226.5.pdf" Type="http://schemas.openxmlformats.org/officeDocument/2006/relationships/hyperlink" Id="rId4"/>
    <Relationship TargetMode="External" Target="https://www.legis.iowa.gov/docs/iac/rule/661.226.4.pdf" Type="http://schemas.openxmlformats.org/officeDocument/2006/relationships/hyperlink" Id="rId5"/>
    <Relationship TargetMode="External" Target="https://www.legis.iowa.gov/docs/iac/rule/661.226.4.pdf" Type="http://schemas.openxmlformats.org/officeDocument/2006/relationships/hyperlink" Id="rId6"/>
    <Relationship TargetMode="External" Target="https://www.legis.iowa.gov/docs/iac/rule/661.226.4.pdf" Type="http://schemas.openxmlformats.org/officeDocument/2006/relationships/hyperlink" Id="rId7"/>
    <Relationship TargetMode="External" Target="https://www.legis.iowa.gov/docs/iac/rule/661.226.4.pdf" Type="http://schemas.openxmlformats.org/officeDocument/2006/relationships/hyperlink" Id="rId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