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657—16.8</w:t>
      </w:r>
      <w:r>
        <w:rPr>
          <w:rFonts w:ascii="Times New Roman" w:hAnsi="Times New Roman"/>
          <w:b/>
          <w:i w:val="false"/>
          <w:color w:val="000000"/>
          <w:sz w:val="22"/>
        </w:rPr>
        <w:t xml:space="preserve">(155A) </w:t>
      </w:r>
      <w:r>
        <w:rPr>
          <w:rFonts w:ascii="Times New Roman" w:hAnsi="Times New Roman"/>
          <w:b/>
          <w:i w:val="false"/>
          <w:color w:val="000000"/>
          <w:sz w:val="22"/>
        </w:rPr>
        <w:t xml:space="preserve">Sterile radiopharmaceutical preparations and compounding. </w:t>
      </w:r>
      <w:r>
        <w:rPr>
          <w:rFonts w:ascii="Times New Roman" w:hAnsi="Times New Roman"/>
          <w:b w:val="false"/>
          <w:i w:val="false"/>
          <w:color w:val="000000"/>
          <w:sz w:val="22"/>
        </w:rPr>
        <w:t>Sterile radiopharmaceutical preparations shall comply with federal laws and regulations for radiopharmaceuticals, including enforceable chapters of the United States Pharmacopeia (USP) and final guidance documents regarding sections of the Federal Food, Drug, and Cosmetic Act.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