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657—16.7</w:t>
      </w:r>
      <w:r>
        <w:rPr>
          <w:rFonts w:ascii="Times New Roman" w:hAnsi="Times New Roman"/>
          <w:b/>
          <w:i w:val="false"/>
          <w:color w:val="000000"/>
          <w:sz w:val="22"/>
        </w:rPr>
        <w:t xml:space="preserve">(155A) </w:t>
      </w:r>
      <w:r>
        <w:rPr>
          <w:rFonts w:ascii="Times New Roman" w:hAnsi="Times New Roman"/>
          <w:b/>
          <w:i w:val="false"/>
          <w:color w:val="000000"/>
          <w:sz w:val="22"/>
        </w:rPr>
        <w:t xml:space="preserve">Training and utilization of pharmacy support persons. </w:t>
      </w:r>
      <w:r>
        <w:rPr>
          <w:rFonts w:ascii="Times New Roman" w:hAnsi="Times New Roman"/>
          <w:b w:val="false"/>
          <w:i w:val="false"/>
          <w:color w:val="000000"/>
          <w:sz w:val="22"/>
        </w:rPr>
        <w:t>Nuclear pharmacies utilizing pharmacy support persons shall develop, implement, and periodically review written policies and procedures for the training and utilization of pharmacy support persons. Pharmacy policies shall specify the frequency of review. Pharmacy support person training shall be documented and maintained by the pharmacy for the duration of employment. Such policies and procedures and documentation of pharmacy support person training shall be available for inspection by the board or an agent of the board.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