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657—16.5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(155A)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Library.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nuclear pharmacy shall have access to the following references. References may be printed or computer-accessed and shall be current editions or revisions.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United States Pharmacopoeia/National Formulary, with supplements;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reference including all pertinent Iowa laws, rules, and regulations that impact the pharmacy’s practice;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State rules and federal regulations governing the use of applicable radioactive materials;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Additional references as may be necessary for the pharmacist to adequately meet the needs of the patients served.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2196C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10/14/15, effective 11/18/15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