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655—4.6</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A licensee may be disciplined for failure to comply with the rules promulgated by the board and for any wrongful act or omission related to nursing practice, licensure, or 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4">
        <w:r>
          <w:rPr>
            <w:rStyle w:val="Hyperlink"/>
            <w:rFonts w:ascii="Times New Roman" w:hAnsi="Times New Roman"/>
            <w:b w:val="false"/>
            <w:i w:val="false"/>
            <w:color w:val="000000"/>
            <w:sz w:val="22"/>
          </w:rPr>
          <w:t>147.55(1)</w:t>
        </w:r>
      </w:hyperlink>
      <w:r>
        <w:rPr>
          <w:rFonts w:ascii="Times New Roman" w:hAnsi="Times New Roman"/>
          <w:b w:val="false"/>
          <w:i w:val="false"/>
          <w:color w:val="000000"/>
          <w:sz w:val="22"/>
        </w:rPr>
        <w:t>, behavior which constitutes fraud in procuring a license may include, but need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Falsification of the application, credentials, or records submitted to the board for licensure or license renewal as a registered nurse, licensed practical nurse,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Fraud, misrepresentation, or deceit in taking the licensing examination or in obtaining a license as a registered nurse, licensed practical nurse,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Impersonating any applicant in any examination for licensure as a registered nurse, licensed practical nurse,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5">
        <w:r>
          <w:rPr>
            <w:rStyle w:val="Hyperlink"/>
            <w:rFonts w:ascii="Times New Roman" w:hAnsi="Times New Roman"/>
            <w:b w:val="false"/>
            <w:i w:val="false"/>
            <w:color w:val="000000"/>
            <w:sz w:val="22"/>
          </w:rPr>
          <w:t>147.55(2)</w:t>
        </w:r>
      </w:hyperlink>
      <w:r>
        <w:rPr>
          <w:rFonts w:ascii="Times New Roman" w:hAnsi="Times New Roman"/>
          <w:b w:val="false"/>
          <w:i w:val="false"/>
          <w:color w:val="000000"/>
          <w:sz w:val="22"/>
        </w:rPr>
        <w:t>, professional incompetency may include, but need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Lack of knowledge, skill, or ability to discharge professional obligations within the scope of nursing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Deviation by the licensee from the standards of learning, education, or skill ordinarily possessed and applied by other nurses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Willful or repeated departure from or failure to conform to the minimum standards of acceptable and prevailing practice of nursing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Willful or repeated failure to practice nursing with reasonable skill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Willful or repeated failure to practice within the scope of current licensure or level of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meet the standards as defined in </w:t>
      </w:r>
      <w:hyperlink r:id="rId6">
        <w:r>
          <w:rPr>
            <w:rStyle w:val="Hyperlink"/>
            <w:rFonts w:ascii="Times New Roman" w:hAnsi="Times New Roman"/>
            <w:b w:val="false"/>
            <w:i w:val="false"/>
            <w:color w:val="000000"/>
            <w:sz w:val="22"/>
          </w:rPr>
          <w:t>655—Chapter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meet the standards as defined in </w:t>
      </w:r>
      <w:hyperlink r:id="rId7">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requirements of Iowa Code chapter </w:t>
      </w:r>
      <w:hyperlink r:id="rId8">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9">
        <w:r>
          <w:rPr>
            <w:rStyle w:val="Hyperlink"/>
            <w:rFonts w:ascii="Times New Roman" w:hAnsi="Times New Roman"/>
            <w:b w:val="false"/>
            <w:i w:val="false"/>
            <w:color w:val="000000"/>
            <w:sz w:val="22"/>
          </w:rPr>
          <w:t>147.55(3)</w:t>
        </w:r>
      </w:hyperlink>
      <w:r>
        <w:rPr>
          <w:rFonts w:ascii="Times New Roman" w:hAnsi="Times New Roman"/>
          <w:b w:val="false"/>
          <w:i w:val="false"/>
          <w:color w:val="000000"/>
          <w:sz w:val="22"/>
        </w:rPr>
        <w:t>, behavior (i.e., acts, knowledge, and practices) which constitutes knowingly making misleading, deceptive, untrue, or fraudulent representations in the practice of a profession may include, but need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Oral or written misrepresentation relating to degrees, credentials, licensure status, records, and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Falsifying records related to nursing practice or knowingly permitting the use of falsified information in those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10">
        <w:r>
          <w:rPr>
            <w:rStyle w:val="Hyperlink"/>
            <w:rFonts w:ascii="Times New Roman" w:hAnsi="Times New Roman"/>
            <w:b w:val="false"/>
            <w:i w:val="false"/>
            <w:color w:val="000000"/>
            <w:sz w:val="22"/>
          </w:rPr>
          <w:t>147.55(3)</w:t>
        </w:r>
      </w:hyperlink>
      <w:r>
        <w:rPr>
          <w:rFonts w:ascii="Times New Roman" w:hAnsi="Times New Roman"/>
          <w:b w:val="false"/>
          <w:i w:val="false"/>
          <w:color w:val="000000"/>
          <w:sz w:val="22"/>
        </w:rPr>
        <w:t>, behavior (i.e., acts, knowledge, and practices) which constitutes unethical conduct or practice harmful or detrimental to the public may include, but need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Performing nursing services beyond the authorized scope of practice for which the individual is licensed or prepared.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Allowing another person to use one’s nursing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any rule promulgated by the board related to minimum standards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Improper delegation of nursing services, functions, or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Committing an act or omission which may adversely affect the physical or psychosocial welfare of the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Committing an act which causes physical, emotional, or financial injury to the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Failing to report to, or leaving, a nursing assignment without properly notifying appropriate supervisory personnel and ensuring the safety and welfare of the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Violating the confidentiality or privacy rights of the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Discriminating against a patient or client because of age, sex, race, ethnicity, national origin, creed, illness, disability, sexual orientation, or economic or social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Failing to assess, accurately document, evaluate, or report the status of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Misappropriating or attempting to misappropriate medications, property, supplies, or equipment of the patient, client, 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Fraudulently or inappropriately using or permitting the use of prescriptions, obtaining or attempting to obtain prescription medications under false pretenses, or assisting others to obtain or attempt to obtain prescription medication under false pretenses.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Practicing nursing while under the influence of alcohol, marijuana, or illicit drugs or while impaired by the use of pharmacological agents or medications, even if legitimately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Being involved in the unauthorized manufacture or distribution of a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Being involved in the unauthorized possession or use of a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Engaging in behavior that is contradictory to professional decorum.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Failing to report suspected wrongful acts or omissions committed by a licensee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an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For an advanced registered nurse practitioner, prescribing, dispensing, administering, or distributing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an unsafe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Without accurately documenting it or without assessing, evaluating, or instructing the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individuals who are not patients or who are outside of the licensee’s specialty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Engaging in repeated verbal or physical conduct that interferes with another health care worker’s performance or creates an intimidating, hostile, or offensive work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Failing to properly safeguard or secure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Failing to properly document or perform medication wastage.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subrule, “patient” is defined to include the patient and the patient’s family or caretakers who are present with the patient while the patient is under the care of the licensee. In accordance with Iowa Code section </w:t>
      </w:r>
      <w:hyperlink r:id="rId11">
        <w:r>
          <w:rPr>
            <w:rStyle w:val="Hyperlink"/>
            <w:rFonts w:ascii="Times New Roman" w:hAnsi="Times New Roman"/>
            <w:b w:val="false"/>
            <w:i w:val="false"/>
            <w:color w:val="000000"/>
            <w:sz w:val="22"/>
          </w:rPr>
          <w:t>147.55(3)</w:t>
        </w:r>
      </w:hyperlink>
      <w:r>
        <w:rPr>
          <w:rFonts w:ascii="Times New Roman" w:hAnsi="Times New Roman"/>
          <w:b w:val="false"/>
          <w:i w:val="false"/>
          <w:color w:val="000000"/>
          <w:sz w:val="22"/>
        </w:rPr>
        <w:t>, behavior (i.e., acts, knowledge, and practices) which constitutes unethical conduct or practice harmful or detrimental to the public may include, but need not be limited to, the following professional boundaries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Sexual contact with a patient, regardless of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Making lewd, suggestive, demeaning, or otherwise sexual comments, regardless of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Participating in, initiating, or attempting to initiate a sexual, emotional, social, or business relationship with a patient, regardless of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Soliciting, borrowing, or misappropriating money or property from a patient, regardless of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Repeatedly divulging personal information to a patient for nontherapeutic purposes, regardless of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Engaging in a sexual, emotional, social, or business relationship with a former patient when there is a risk of exploitation or harm to the patient, regardless of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12">
        <w:r>
          <w:rPr>
            <w:rStyle w:val="Hyperlink"/>
            <w:rFonts w:ascii="Times New Roman" w:hAnsi="Times New Roman"/>
            <w:b w:val="false"/>
            <w:i w:val="false"/>
            <w:color w:val="000000"/>
            <w:sz w:val="22"/>
          </w:rPr>
          <w:t>147.55(4)</w:t>
        </w:r>
      </w:hyperlink>
      <w:r>
        <w:rPr>
          <w:rFonts w:ascii="Times New Roman" w:hAnsi="Times New Roman"/>
          <w:b w:val="false"/>
          <w:i w:val="false"/>
          <w:color w:val="000000"/>
          <w:sz w:val="22"/>
        </w:rPr>
        <w:t>, habitual intoxication or addiction to the use of drugs may include, but need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Excessive use of alcohol which may impair a licensee’s ability to practice the profession with reasonable skill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Excessive use of drugs which may impair a licensee’s ability to practice the profession with reasonable skill and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w:t>
      </w:r>
      <w:r>
        <w:rPr>
          <w:rFonts w:ascii="Times New Roman" w:hAnsi="Times New Roman"/>
          <w:b w:val="false"/>
          <w:i w:val="false"/>
          <w:color w:val="000000"/>
          <w:sz w:val="22"/>
        </w:rPr>
        <w:t> </w:t>
      </w:r>
      <w:r>
        <w:rPr>
          <w:rFonts w:ascii="Times New Roman" w:hAnsi="Times New Roman"/>
          <w:b w:val="false"/>
          <w:i w:val="false"/>
          <w:color w:val="000000"/>
          <w:sz w:val="22"/>
        </w:rPr>
        <w:t>Being convicted of an offense that directly relates to the duties and responsibilities of the profession. A conviction includes a guilty plea, including Alford and nolo contendere pleas, or a finding or verdict of guilt, even if the adjudication of guilt is deferred, withheld, or not entered. A copy of the guilty plea or order of conviction constitutes conclusive evidence of conviction. An offense directly relates to the duties and responsibilities of the profession if the actions taken in furtherance of the offense are actions customarily performed within the scope of practice of the profession or the circumstances under which the offense was committed are circumstances customary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13">
        <w:r>
          <w:rPr>
            <w:rStyle w:val="Hyperlink"/>
            <w:rFonts w:ascii="Times New Roman" w:hAnsi="Times New Roman"/>
            <w:b w:val="false"/>
            <w:i w:val="false"/>
            <w:color w:val="000000"/>
            <w:sz w:val="22"/>
          </w:rPr>
          <w:t>147.55(5)</w:t>
        </w:r>
      </w:hyperlink>
      <w:r>
        <w:rPr>
          <w:rFonts w:ascii="Times New Roman" w:hAnsi="Times New Roman"/>
          <w:b w:val="false"/>
          <w:i w:val="false"/>
          <w:color w:val="000000"/>
          <w:sz w:val="22"/>
        </w:rPr>
        <w:t>, fraud in representation as to skill or 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14">
        <w:r>
          <w:rPr>
            <w:rStyle w:val="Hyperlink"/>
            <w:rFonts w:ascii="Times New Roman" w:hAnsi="Times New Roman"/>
            <w:b w:val="false"/>
            <w:i w:val="false"/>
            <w:color w:val="000000"/>
            <w:sz w:val="22"/>
          </w:rPr>
          <w:t>147.55(6)</w:t>
        </w:r>
      </w:hyperlink>
      <w:r>
        <w:rPr>
          <w:rFonts w:ascii="Times New Roman" w:hAnsi="Times New Roman"/>
          <w:b w:val="false"/>
          <w:i w:val="false"/>
          <w:color w:val="000000"/>
          <w:sz w:val="22"/>
        </w:rPr>
        <w:t>, use of untruthful or improbable statements in advertisements.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15">
        <w:r>
          <w:rPr>
            <w:rStyle w:val="Hyperlink"/>
            <w:rFonts w:ascii="Times New Roman" w:hAnsi="Times New Roman"/>
            <w:b w:val="false"/>
            <w:i w:val="false"/>
            <w:color w:val="000000"/>
            <w:sz w:val="22"/>
          </w:rPr>
          <w:t>147.55(7)</w:t>
        </w:r>
      </w:hyperlink>
      <w:r>
        <w:rPr>
          <w:rFonts w:ascii="Times New Roman" w:hAnsi="Times New Roman"/>
          <w:b w:val="false"/>
          <w:i w:val="false"/>
          <w:color w:val="000000"/>
          <w:sz w:val="22"/>
        </w:rPr>
        <w:t xml:space="preserve">, willful or repeated violations of provisions of Iowa Code chapter </w:t>
      </w:r>
      <w:hyperlink r:id="rId1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19">
        <w:r>
          <w:rPr>
            <w:rStyle w:val="Hyperlink"/>
            <w:rFonts w:ascii="Times New Roman" w:hAnsi="Times New Roman"/>
            <w:b w:val="false"/>
            <w:i w:val="false"/>
            <w:color w:val="000000"/>
            <w:sz w:val="22"/>
          </w:rPr>
          <w:t>147.55(8)</w:t>
        </w:r>
      </w:hyperlink>
      <w:r>
        <w:rPr>
          <w:rFonts w:ascii="Times New Roman" w:hAnsi="Times New Roman"/>
          <w:b w:val="false"/>
          <w:i w:val="false"/>
          <w:color w:val="000000"/>
          <w:sz w:val="22"/>
        </w:rPr>
        <w:t>, other acts or offenses as specified by board rule,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provide written notification of a change of address to the board within 30 days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notify the board within 30 days from the date of the final decision in a disciplinary action taken by the licensing authority of another state,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to notify the board of a criminal conviction within 30 days of the action, regardless of whether the judgment of conviction or sentence was deferred, and regardless of the jurisdiction where it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Failing to submit an additional completed fingerprint packet as required and applicable fee, when a previous fingerprint submission has been determined to be unacceptable, within 30 days of a request made by board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Failing to respond to the board during a board audit or submit verification of compliance with continuing education requirements or exceptions within the time period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Failing to respond to the board during a board audit or submit verification of compliance with training in child or dependent adult abuse identification and reporting or exceptions within the time period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respond to the board during a board audit or submit verification of compliance with the requirements for the supervision of fluoroscopy set forth in </w:t>
      </w:r>
      <w:hyperlink r:id="rId20">
        <w:r>
          <w:rPr>
            <w:rStyle w:val="Hyperlink"/>
            <w:rFonts w:ascii="Times New Roman" w:hAnsi="Times New Roman"/>
            <w:b w:val="false"/>
            <w:i w:val="false"/>
            <w:color w:val="000000"/>
            <w:sz w:val="22"/>
          </w:rPr>
          <w:t>655—subrule 7.4(5)</w:t>
        </w:r>
      </w:hyperlink>
      <w:r>
        <w:rPr>
          <w:rFonts w:ascii="Times New Roman" w:hAnsi="Times New Roman"/>
          <w:b w:val="false"/>
          <w:i w:val="false"/>
          <w:color w:val="000000"/>
          <w:sz w:val="22"/>
        </w:rPr>
        <w:t xml:space="preserve"> or exceptions within the time period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Failing to respond to or comply with a board investigation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Engaging in behavior that is threatening or harassing to the board, board staff, or agents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Violating an initial agreement or contract with the Iowa nurse assistance program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4.6(12)</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21">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Engaging in the practice of nursing in Iowa prior to licensure or not pursuant to the nurse licensure compact.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Engaging in the practice of nursing in Iowa on an inactive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23">
        <w:r>
          <w:rPr>
            <w:rStyle w:val="Hyperlink"/>
            <w:rFonts w:ascii="Times New Roman" w:hAnsi="Times New Roman"/>
            <w:b w:val="false"/>
            <w:i w:val="false"/>
            <w:color w:val="000000"/>
            <w:sz w:val="22"/>
          </w:rPr>
          <w:t>152.10(2)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to practice while knowingly having an infectious or contagious disease which could be harmful to a patient’s welfare without taking precautions to meet the current standard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Having a license to practice nursing as a registered nurse, licensed practical/vocational nurse, or advanced registered nurse practitioner revoked or suspended, or having other disciplinary action taken, by a licensing authority of another state,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Having a license to practice nursing as a registered nurse, licensed practical/vocational nurse, or advanced registered nurse practitioner revoked or suspended, or having other disciplinary action taken, by a licensing authority in another state which has adopted the nurse licensure compact contained in Iowa Code section </w:t>
      </w:r>
      <w:hyperlink r:id="rId24">
        <w:r>
          <w:rPr>
            <w:rStyle w:val="Hyperlink"/>
            <w:rFonts w:ascii="Times New Roman" w:hAnsi="Times New Roman"/>
            <w:b w:val="false"/>
            <w:i w:val="false"/>
            <w:color w:val="000000"/>
            <w:sz w:val="22"/>
          </w:rPr>
          <w:t>152E.1</w:t>
        </w:r>
      </w:hyperlink>
      <w:r>
        <w:rPr>
          <w:rFonts w:ascii="Times New Roman" w:hAnsi="Times New Roman"/>
          <w:b w:val="false"/>
          <w:i w:val="false"/>
          <w:color w:val="000000"/>
          <w:sz w:val="22"/>
        </w:rPr>
        <w:t xml:space="preserve"> or the advanced practice registered nurse compact contained in Iowa Code section </w:t>
      </w:r>
      <w:hyperlink r:id="rId25">
        <w:r>
          <w:rPr>
            <w:rStyle w:val="Hyperlink"/>
            <w:rFonts w:ascii="Times New Roman" w:hAnsi="Times New Roman"/>
            <w:b w:val="false"/>
            <w:i w:val="false"/>
            <w:color w:val="000000"/>
            <w:sz w:val="22"/>
          </w:rPr>
          <w:t>152E.3</w:t>
        </w:r>
      </w:hyperlink>
      <w:r>
        <w:rPr>
          <w:rFonts w:ascii="Times New Roman" w:hAnsi="Times New Roman"/>
          <w:b w:val="false"/>
          <w:i w:val="false"/>
          <w:color w:val="000000"/>
          <w:sz w:val="22"/>
        </w:rPr>
        <w:t xml:space="preserve"> and which has communicated information relating to such action pursuant to the coordinated licensure information system established by the compact. If the action taken by the licensing authority occurs in a jurisdiction which does not afford the procedural protections of Iowa Code chapter </w:t>
      </w:r>
      <w:hyperlink r:id="rId2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the licensee may object to the communicated information and shall be afforded the procedural protections of Iowa Code chapter </w:t>
      </w:r>
      <w:hyperlink r:id="rId2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procuring, advising, or allowing a person to unlawfully practice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Being adjudicated mentally incompetent by a court of competent jurisdiction. Such adjudication shall automatically suspend a license for the duration of the license unless the board orders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Being unable to practice nursing with reasonable skill and safety by reason of illness or as a result of a mental or physical condition.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6198C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55.pdf" Type="http://schemas.openxmlformats.org/officeDocument/2006/relationships/hyperlink" Id="rId4"/>
    <Relationship TargetMode="External" Target="https://www.legis.iowa.gov/docs/ico/chapter/147.55.pdf" Type="http://schemas.openxmlformats.org/officeDocument/2006/relationships/hyperlink" Id="rId5"/>
    <Relationship TargetMode="External" Target="https://www.legis.iowa.gov/docs/iac/chapter/655.6.pdf" Type="http://schemas.openxmlformats.org/officeDocument/2006/relationships/hyperlink" Id="rId6"/>
    <Relationship TargetMode="External" Target="https://www.legis.iowa.gov/docs/iac/chapter/655.7.pdf" Type="http://schemas.openxmlformats.org/officeDocument/2006/relationships/hyperlink" Id="rId7"/>
    <Relationship TargetMode="External" Target="https://www.legis.iowa.gov/docs/ico/chapter/139A.pdf" Type="http://schemas.openxmlformats.org/officeDocument/2006/relationships/hyperlink" Id="rId8"/>
    <Relationship TargetMode="External" Target="https://www.legis.iowa.gov/docs/ico/chapter/147.55.pdf" Type="http://schemas.openxmlformats.org/officeDocument/2006/relationships/hyperlink" Id="rId9"/>
    <Relationship TargetMode="External" Target="https://www.legis.iowa.gov/docs/ico/chapter/147.55.pdf" Type="http://schemas.openxmlformats.org/officeDocument/2006/relationships/hyperlink" Id="rId10"/>
    <Relationship TargetMode="External" Target="https://www.legis.iowa.gov/docs/ico/chapter/147.55.pdf" Type="http://schemas.openxmlformats.org/officeDocument/2006/relationships/hyperlink" Id="rId11"/>
    <Relationship TargetMode="External" Target="https://www.legis.iowa.gov/docs/ico/chapter/147.55.pdf" Type="http://schemas.openxmlformats.org/officeDocument/2006/relationships/hyperlink" Id="rId12"/>
    <Relationship TargetMode="External" Target="https://www.legis.iowa.gov/docs/ico/chapter/147.55.pdf" Type="http://schemas.openxmlformats.org/officeDocument/2006/relationships/hyperlink" Id="rId13"/>
    <Relationship TargetMode="External" Target="https://www.legis.iowa.gov/docs/ico/chapter/147.55.pdf" Type="http://schemas.openxmlformats.org/officeDocument/2006/relationships/hyperlink" Id="rId14"/>
    <Relationship TargetMode="External" Target="https://www.legis.iowa.gov/docs/ico/chapter/147.55.pdf" Type="http://schemas.openxmlformats.org/officeDocument/2006/relationships/hyperlink" Id="rId15"/>
    <Relationship TargetMode="External" Target="https://www.legis.iowa.gov/docs/ico/chapter/147.pdf" Type="http://schemas.openxmlformats.org/officeDocument/2006/relationships/hyperlink" Id="rId16"/>
    <Relationship TargetMode="External" Target="https://www.legis.iowa.gov/docs/ico/chapter/152.pdf" Type="http://schemas.openxmlformats.org/officeDocument/2006/relationships/hyperlink" Id="rId17"/>
    <Relationship TargetMode="External" Target="https://www.legis.iowa.gov/docs/ico/chapter/272C.pdf" Type="http://schemas.openxmlformats.org/officeDocument/2006/relationships/hyperlink" Id="rId18"/>
    <Relationship TargetMode="External" Target="https://www.legis.iowa.gov/docs/ico/chapter/147.55.pdf" Type="http://schemas.openxmlformats.org/officeDocument/2006/relationships/hyperlink" Id="rId19"/>
    <Relationship TargetMode="External" Target="https://www.legis.iowa.gov/docs/iac/rule/655.7.4.pdf" Type="http://schemas.openxmlformats.org/officeDocument/2006/relationships/hyperlink" Id="rId20"/>
    <Relationship TargetMode="External" Target="https://www.legis.iowa.gov/docs/ico/chapter/147.2.pdf" Type="http://schemas.openxmlformats.org/officeDocument/2006/relationships/hyperlink" Id="rId21"/>
    <Relationship TargetMode="External" Target="https://www.legis.iowa.gov/docs/ico/chapter/147.10.pdf" Type="http://schemas.openxmlformats.org/officeDocument/2006/relationships/hyperlink" Id="rId22"/>
    <Relationship TargetMode="External" Target="https://www.legis.iowa.gov/docs/ico/chapter/152.10.pdf" Type="http://schemas.openxmlformats.org/officeDocument/2006/relationships/hyperlink" Id="rId23"/>
    <Relationship TargetMode="External" Target="https://www.legis.iowa.gov/docs/ico/chapter/152E.1.pdf" Type="http://schemas.openxmlformats.org/officeDocument/2006/relationships/hyperlink" Id="rId24"/>
    <Relationship TargetMode="External" Target="https://www.legis.iowa.gov/docs/ico/chapter/152E.3.pdf" Type="http://schemas.openxmlformats.org/officeDocument/2006/relationships/hyperlink" Id="rId25"/>
    <Relationship TargetMode="External" Target="https://www.legis.iowa.gov/docs/ico/chapter/17A.pdf" Type="http://schemas.openxmlformats.org/officeDocument/2006/relationships/hyperlink" Id="rId26"/>
    <Relationship TargetMode="External" Target="https://www.legis.iowa.gov/docs/ico/chapter/17A.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