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655—4.3</w:t>
      </w:r>
      <w:r>
        <w:rPr>
          <w:rFonts w:ascii="Times New Roman" w:hAnsi="Times New Roman"/>
          <w:b/>
          <w:i w:val="false"/>
          <w:color w:val="000000"/>
          <w:sz w:val="22"/>
        </w:rPr>
        <w:t xml:space="preserve">(17A,147,152,272C) </w:t>
      </w:r>
      <w:r>
        <w:rPr>
          <w:rFonts w:ascii="Times New Roman" w:hAnsi="Times New Roman"/>
          <w:b/>
          <w:i w:val="false"/>
          <w:color w:val="000000"/>
          <w:sz w:val="22"/>
        </w:rPr>
        <w:t xml:space="preserve">Issuance of investigatory subpoenas. </w:t>
      </w:r>
      <w:r>
        <w:rPr>
          <w:rFonts w:ascii="Times New Roman" w:hAnsi="Times New Roman"/>
          <w:b w:val="false"/>
          <w:i w:val="false"/>
          <w:color w:val="000000"/>
          <w:sz w:val="22"/>
        </w:rPr>
        <w:t xml:space="preserve">The board has the authority to issue investigatory subpoenas pursuant to Iowa Code section </w:t>
      </w:r>
      <w:hyperlink r:id="rId4">
        <w:r>
          <w:rPr>
            <w:rStyle w:val="Hyperlink"/>
            <w:rFonts w:ascii="Times New Roman" w:hAnsi="Times New Roman"/>
            <w:b w:val="false"/>
            <w:i w:val="false"/>
            <w:color w:val="000000"/>
            <w:sz w:val="22"/>
          </w:rPr>
          <w:t>17A.13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w:t>
      </w:r>
      <w:r>
        <w:rPr>
          <w:rFonts w:ascii="Times New Roman" w:hAnsi="Times New Roman"/>
          <w:b w:val="false"/>
          <w:i w:val="false"/>
          <w:color w:val="000000"/>
          <w:sz w:val="22"/>
        </w:rPr>
        <w:t> </w:t>
      </w:r>
      <w:r>
        <w:rPr>
          <w:rFonts w:ascii="Times New Roman" w:hAnsi="Times New Roman"/>
          <w:b w:val="false"/>
          <w:i/>
          <w:color w:val="000000"/>
          <w:sz w:val="22"/>
        </w:rPr>
        <w:t xml:space="preserve">Scope of subpoena. </w:t>
      </w:r>
      <w:r>
        <w:rPr>
          <w:rFonts w:ascii="Times New Roman" w:hAnsi="Times New Roman"/>
          <w:b w:val="false"/>
          <w:i w:val="false"/>
          <w:color w:val="000000"/>
          <w:sz w:val="22"/>
        </w:rPr>
        <w:t>The executive director or designee may, upon the written request of a board investigator or on the executive director’s own initiative, subpoena books, papers, records, and any other real evidence necessary for the board to determine whether it should institute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w:t>
      </w:r>
      <w:r>
        <w:rPr>
          <w:rFonts w:ascii="Times New Roman" w:hAnsi="Times New Roman"/>
          <w:b w:val="false"/>
          <w:i w:val="false"/>
          <w:color w:val="000000"/>
          <w:sz w:val="22"/>
        </w:rPr>
        <w:t> </w:t>
      </w:r>
      <w:r>
        <w:rPr>
          <w:rFonts w:ascii="Times New Roman" w:hAnsi="Times New Roman"/>
          <w:b w:val="false"/>
          <w:i/>
          <w:color w:val="000000"/>
          <w:sz w:val="22"/>
        </w:rPr>
        <w:t xml:space="preserve">Content of request. </w:t>
      </w:r>
      <w:r>
        <w:rPr>
          <w:rFonts w:ascii="Times New Roman" w:hAnsi="Times New Roman"/>
          <w:b w:val="false"/>
          <w:i w:val="false"/>
          <w:color w:val="000000"/>
          <w:sz w:val="22"/>
        </w:rPr>
        <w:t>A written request for a subpoena or the executive director’s written memorandum in support of the issuance of a subpoena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will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specific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explanation of why the documents sought to be subpoenaed are necessary for the board to determine whether it should institute a contested case proceeding;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 subpoena request for mental health records, confirmation that the conditions described in </w:t>
      </w:r>
      <w:hyperlink r:id="rId5">
        <w:r>
          <w:rPr>
            <w:rStyle w:val="Hyperlink"/>
            <w:rFonts w:ascii="Times New Roman" w:hAnsi="Times New Roman"/>
            <w:b w:val="false"/>
            <w:i w:val="false"/>
            <w:color w:val="000000"/>
            <w:sz w:val="22"/>
          </w:rPr>
          <w:t>subrule 4.3(1)</w:t>
        </w:r>
      </w:hyperlink>
      <w:r>
        <w:rPr>
          <w:rFonts w:ascii="Times New Roman" w:hAnsi="Times New Roman"/>
          <w:b w:val="false"/>
          <w:i w:val="false"/>
          <w:color w:val="000000"/>
          <w:sz w:val="22"/>
        </w:rPr>
        <w:t xml:space="preserve">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for subpoenas for mental health records. </w:t>
      </w:r>
      <w:r>
        <w:rPr>
          <w:rFonts w:ascii="Times New Roman" w:hAnsi="Times New Roman"/>
          <w:b w:val="false"/>
          <w:i w:val="false"/>
          <w:color w:val="000000"/>
          <w:sz w:val="22"/>
        </w:rPr>
        <w:t xml:space="preserve">In the case of a subpoena for mental health records, a written request for a subpoena or the executive director’s written memorandum in support of the issuance of the subpoena shall, in addition to the requirements of </w:t>
      </w:r>
      <w:hyperlink r:id="rId6">
        <w:r>
          <w:rPr>
            <w:rStyle w:val="Hyperlink"/>
            <w:rFonts w:ascii="Times New Roman" w:hAnsi="Times New Roman"/>
            <w:b w:val="false"/>
            <w:i w:val="false"/>
            <w:color w:val="000000"/>
            <w:sz w:val="22"/>
          </w:rPr>
          <w:t>subrule 4.3(2)</w:t>
        </w:r>
      </w:hyperlink>
      <w:r>
        <w:rPr>
          <w:rFonts w:ascii="Times New Roman" w:hAnsi="Times New Roman"/>
          <w:b w:val="false"/>
          <w:i w:val="false"/>
          <w:color w:val="000000"/>
          <w:sz w:val="22"/>
        </w:rPr>
        <w:t>, set forth sufficient facts to establish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nature of the complaint reasonably justifies the issuance of a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Adequate safeguards have been established to prevent unauthorized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express statutory mandate, articulated public policy, or other recognizable public interest favors access;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attempt was made to notify the patient and to secure an authorization from the patient for release of the records at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w:t>
      </w:r>
      <w:r>
        <w:rPr>
          <w:rFonts w:ascii="Times New Roman" w:hAnsi="Times New Roman"/>
          <w:b w:val="false"/>
          <w:i w:val="false"/>
          <w:color w:val="000000"/>
          <w:sz w:val="22"/>
        </w:rPr>
        <w:t> </w:t>
      </w:r>
      <w:r>
        <w:rPr>
          <w:rFonts w:ascii="Times New Roman" w:hAnsi="Times New Roman"/>
          <w:b w:val="false"/>
          <w:i/>
          <w:color w:val="000000"/>
          <w:sz w:val="22"/>
        </w:rPr>
        <w:t xml:space="preserve">Contents of subpoena. </w:t>
      </w:r>
      <w:r>
        <w:rPr>
          <w:rFonts w:ascii="Times New Roman" w:hAnsi="Times New Roman"/>
          <w:b w:val="false"/>
          <w:i w:val="false"/>
          <w:color w:val="000000"/>
          <w:sz w:val="22"/>
        </w:rPr>
        <w:t>Each issued subpoena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time within which a motion to quash or modify the subpoena must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signature, address, and telephone number of the executive director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of issuance;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return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w:t>
      </w:r>
      <w:r>
        <w:rPr>
          <w:rFonts w:ascii="Times New Roman" w:hAnsi="Times New Roman"/>
          <w:b w:val="false"/>
          <w:i w:val="false"/>
          <w:color w:val="000000"/>
          <w:sz w:val="22"/>
        </w:rPr>
        <w:t> </w:t>
      </w:r>
      <w:r>
        <w:rPr>
          <w:rFonts w:ascii="Times New Roman" w:hAnsi="Times New Roman"/>
          <w:b w:val="false"/>
          <w:i/>
          <w:color w:val="000000"/>
          <w:sz w:val="22"/>
        </w:rPr>
        <w:t xml:space="preserve">Motion to quash. </w:t>
      </w:r>
      <w:r>
        <w:rPr>
          <w:rFonts w:ascii="Times New Roman" w:hAnsi="Times New Roman"/>
          <w:b w:val="false"/>
          <w:i w:val="false"/>
          <w:color w:val="000000"/>
          <w:sz w:val="22"/>
        </w:rPr>
        <w:t>Any person who is aggrieved or adversely affected by compliance with the subpoena and who desires to challenge the subpoena must, within 14 days after service of the subpoena, or before the time specified for compliance if such time is less than 14 days, file with the board a motion to quash or modify the subpoena. The motion shall describe the legal reasons why the subpoena should be quashed or modified and may be accompanied by legal briefs or factual affidavits.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w:t>
      </w:r>
      <w:r>
        <w:rPr>
          <w:rFonts w:ascii="Times New Roman" w:hAnsi="Times New Roman"/>
          <w:b w:val="false"/>
          <w:i w:val="false"/>
          <w:color w:val="000000"/>
          <w:sz w:val="22"/>
        </w:rPr>
        <w:t> </w:t>
      </w:r>
      <w:r>
        <w:rPr>
          <w:rFonts w:ascii="Times New Roman" w:hAnsi="Times New Roman"/>
          <w:b w:val="false"/>
          <w:i/>
          <w:color w:val="000000"/>
          <w:sz w:val="22"/>
        </w:rPr>
        <w:t xml:space="preserve">Ruling on motion. </w:t>
      </w:r>
      <w:r>
        <w:rPr>
          <w:rFonts w:ascii="Times New Roman" w:hAnsi="Times New Roman"/>
          <w:b w:val="false"/>
          <w:i w:val="false"/>
          <w:color w:val="000000"/>
          <w:sz w:val="22"/>
        </w:rPr>
        <w:t>Upon receipt of a timely motion to quash or modify a subpoena, the board may request an administrative law judge to issue a decision, or the board may issue a decision. Oral argument may be scheduled at the discretion of the board or the administrative law judge. The administrative law judge or the board may quash or modify the subpoena, deny the motion, or issue an appropriate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w:t>
      </w:r>
      <w:r>
        <w:rPr>
          <w:rFonts w:ascii="Times New Roman" w:hAnsi="Times New Roman"/>
          <w:b w:val="false"/>
          <w:i w:val="false"/>
          <w:color w:val="000000"/>
          <w:sz w:val="22"/>
        </w:rPr>
        <w:t> </w:t>
      </w:r>
      <w:r>
        <w:rPr>
          <w:rFonts w:ascii="Times New Roman" w:hAnsi="Times New Roman"/>
          <w:b w:val="false"/>
          <w:i/>
          <w:color w:val="000000"/>
          <w:sz w:val="22"/>
        </w:rPr>
        <w:t xml:space="preserve">Appeal of an administrative law judge ruling. </w:t>
      </w:r>
      <w:r>
        <w:rPr>
          <w:rFonts w:ascii="Times New Roman" w:hAnsi="Times New Roman"/>
          <w:b w:val="false"/>
          <w:i w:val="false"/>
          <w:color w:val="000000"/>
          <w:sz w:val="22"/>
        </w:rPr>
        <w:t>A person aggrieved by a ruling of an administrative law judge who desires to challenge that ruling must appeal the ruling to the board by serving on the executive director, either in person or by certified mail, a notice of appeal within ten days after service of the decision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w:t>
      </w:r>
      <w:r>
        <w:rPr>
          <w:rFonts w:ascii="Times New Roman" w:hAnsi="Times New Roman"/>
          <w:b w:val="false"/>
          <w:i w:val="false"/>
          <w:color w:val="000000"/>
          <w:sz w:val="22"/>
        </w:rPr>
        <w:t> </w:t>
      </w:r>
      <w:r>
        <w:rPr>
          <w:rFonts w:ascii="Times New Roman" w:hAnsi="Times New Roman"/>
          <w:b w:val="false"/>
          <w:i/>
          <w:color w:val="000000"/>
          <w:sz w:val="22"/>
        </w:rPr>
        <w:t xml:space="preserve">Judicial review. </w:t>
      </w:r>
      <w:r>
        <w:rPr>
          <w:rFonts w:ascii="Times New Roman" w:hAnsi="Times New Roman"/>
          <w:b w:val="false"/>
          <w:i w:val="false"/>
          <w:color w:val="000000"/>
          <w:sz w:val="22"/>
        </w:rPr>
        <w:t>If the person contesting the subpoena is not the person under investigation, the board’s decision is final for purposes of judicial review. If the person contesting the subpoena is the person under investigation, the board’s decision is not final for purposes of judicial review until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is notified that the investigation has been concluded with no formal action;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a final decision in the contested case.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6198C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3.pdf" Type="http://schemas.openxmlformats.org/officeDocument/2006/relationships/hyperlink" Id="rId4"/>
    <Relationship TargetMode="External" Target="https://www.legis.iowa.gov/docs/iac/rule/655.4.3.pdf" Type="http://schemas.openxmlformats.org/officeDocument/2006/relationships/hyperlink" Id="rId5"/>
    <Relationship TargetMode="External" Target="https://www.legis.iowa.gov/docs/iac/rule/655.4.3.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