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655—4.2</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Upon receipt of a written complaint or upon its own motion pursuant to other information received by the board, the board may review and investigate alleged acts or omissions that may violate the board’s rules or that are related to the ethical or professional conduct of a licensee. The board may also determine that a complaint does not warrant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investigative files. </w:t>
      </w:r>
      <w:r>
        <w:rPr>
          <w:rFonts w:ascii="Times New Roman" w:hAnsi="Times New Roman"/>
          <w:b w:val="false"/>
          <w:i w:val="false"/>
          <w:color w:val="000000"/>
          <w:sz w:val="22"/>
        </w:rPr>
        <w:t xml:space="preserve">Complaint files, investigation files, and all other investigation reports and investigation information in the possession of the board, including any employees or agents of the board, that relate to licensee discipline are confidential pursuant to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In order to determine whether disciplinary action is warranted, the executive director or a board investigator may conduct an investigation into the allegations of a complaint. Upon completion of an investigation, the investigator shall prepare a report for the board’s consideration. The report may contain evidence gathered by the investigator, findings made by the investigator, the licensee’s response to the allegations, and the potential laws or rules alleged to have been violated.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6198C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