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655—12.7</w:t>
      </w:r>
      <w:r>
        <w:rPr>
          <w:rFonts w:ascii="Times New Roman" w:hAnsi="Times New Roman"/>
          <w:b/>
          <w:i w:val="false"/>
          <w:color w:val="000000"/>
          <w:sz w:val="22"/>
        </w:rPr>
        <w:t xml:space="preserve">(514F) </w:t>
      </w:r>
      <w:r>
        <w:rPr>
          <w:rFonts w:ascii="Times New Roman" w:hAnsi="Times New Roman"/>
          <w:b/>
          <w:i w:val="false"/>
          <w:color w:val="000000"/>
          <w:sz w:val="22"/>
        </w:rPr>
        <w:t xml:space="preserve">Procedures for utilization and cost control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12.7(1)</w:t>
      </w:r>
      <w:r>
        <w:rPr>
          <w:rFonts w:ascii="Times New Roman" w:hAnsi="Times New Roman"/>
          <w:b w:val="false"/>
          <w:i w:val="false"/>
          <w:color w:val="000000"/>
          <w:sz w:val="22"/>
        </w:rPr>
        <w:t> </w:t>
      </w:r>
      <w:r>
        <w:rPr>
          <w:rFonts w:ascii="Times New Roman" w:hAnsi="Times New Roman"/>
          <w:b w:val="false"/>
          <w:i w:val="false"/>
          <w:color w:val="000000"/>
          <w:sz w:val="22"/>
        </w:rPr>
        <w:t>A request for review may be made to the board by a patient, a licensee or any third party payer of health care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w:t>
      </w:r>
      <w:r>
        <w:rPr>
          <w:rFonts w:ascii="Times New Roman" w:hAnsi="Times New Roman"/>
          <w:b w:val="false"/>
          <w:i w:val="false"/>
          <w:color w:val="000000"/>
          <w:sz w:val="22"/>
        </w:rPr>
        <w:t> </w:t>
      </w:r>
      <w:r>
        <w:rPr>
          <w:rFonts w:ascii="Times New Roman" w:hAnsi="Times New Roman"/>
          <w:b w:val="false"/>
          <w:i w:val="false"/>
          <w:color w:val="000000"/>
          <w:sz w:val="22"/>
        </w:rPr>
        <w:t>The fee for a utilization and cost control review will be $50 per individual patient review, made payable to the secretary of the U.C.C.R. committee at the time of the request. Such funds are to be used to pay expenses as deemed appropriate by the U.C.C.R.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12.7(3)</w:t>
      </w:r>
      <w:r>
        <w:rPr>
          <w:rFonts w:ascii="Times New Roman" w:hAnsi="Times New Roman"/>
          <w:b w:val="false"/>
          <w:i w:val="false"/>
          <w:color w:val="000000"/>
          <w:sz w:val="22"/>
        </w:rPr>
        <w:t> </w:t>
      </w:r>
      <w:r>
        <w:rPr>
          <w:rFonts w:ascii="Times New Roman" w:hAnsi="Times New Roman"/>
          <w:b w:val="false"/>
          <w:i w:val="false"/>
          <w:color w:val="000000"/>
          <w:sz w:val="22"/>
        </w:rPr>
        <w:t>A request for review shall be submitted to the board by addressing the request to the Iowa Board of Nursing, RiverPoint Business Park, 400 S.W. Eighth Street, Suite B, Des Moines, Iowa 50309-4685. All requests shall be made on the approved forms. Forms will be made available upon request from the office of the board of nursing. All references to identification and location of the licensee shall be deleted prior to submission to the U.C.C.R.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12.7(4)</w:t>
      </w:r>
      <w:r>
        <w:rPr>
          <w:rFonts w:ascii="Times New Roman" w:hAnsi="Times New Roman"/>
          <w:b w:val="false"/>
          <w:i w:val="false"/>
          <w:color w:val="000000"/>
          <w:sz w:val="22"/>
        </w:rPr>
        <w:t> </w:t>
      </w:r>
      <w:r>
        <w:rPr>
          <w:rFonts w:ascii="Times New Roman" w:hAnsi="Times New Roman"/>
          <w:b w:val="false"/>
          <w:i w:val="false"/>
          <w:color w:val="000000"/>
          <w:sz w:val="22"/>
        </w:rPr>
        <w:t>The office of the board of nursing shall provide administrative services to the U.C.C.R. committee. The U.C.C.R. committee shall present its findings and recommendations in writing to the chairperson of the board within 90 days of the committee appointment. The executive director of the board of nursing shall notify the parties of the committee findings.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U.C.C.R. committee, by way of its review of the matter, determines that the matter constitutes possible violation of the Iowa practice of nursing Act (Iowa Code chapter </w:t>
      </w:r>
      <w:hyperlink r:id="rId4">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the chairperson of the committee shall immediately notify the board of nursing and submit a copy of the review findings. The board has authority to further investigate and pursue disciplinary action based on any information submitted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12.7(6)</w:t>
      </w:r>
      <w:r>
        <w:rPr>
          <w:rFonts w:ascii="Times New Roman" w:hAnsi="Times New Roman"/>
          <w:b w:val="false"/>
          <w:i w:val="false"/>
          <w:color w:val="000000"/>
          <w:sz w:val="22"/>
        </w:rPr>
        <w:t> </w:t>
      </w:r>
      <w:r>
        <w:rPr>
          <w:rFonts w:ascii="Times New Roman" w:hAnsi="Times New Roman"/>
          <w:b w:val="false"/>
          <w:i w:val="false"/>
          <w:color w:val="000000"/>
          <w:sz w:val="22"/>
        </w:rPr>
        <w:t>Action of the U.C.C.R. committee does not constitute an action of the board.</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2.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