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655—12.5</w:t>
      </w:r>
      <w:r>
        <w:rPr>
          <w:rFonts w:ascii="Times New Roman" w:hAnsi="Times New Roman"/>
          <w:b/>
          <w:i w:val="false"/>
          <w:color w:val="000000"/>
          <w:sz w:val="22"/>
        </w:rPr>
        <w:t xml:space="preserve">(514F) </w:t>
      </w:r>
      <w:r>
        <w:rPr>
          <w:rFonts w:ascii="Times New Roman" w:hAnsi="Times New Roman"/>
          <w:b/>
          <w:i w:val="false"/>
          <w:color w:val="000000"/>
          <w:sz w:val="22"/>
        </w:rPr>
        <w:t xml:space="preserve">Selection and composition of the U.C.C.R.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The U.C.C.R. committee shall consist of five licensed registered nurses, three of whom shall be certified registered nurses. A quorum of the U.C.C.R. committee is three members. When a quorum is present, a position is carried by a majority of the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board of nursing, upon receipt of a request for review, shall appoint committee members and designate a chairperson and a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Members of the U.C.C.R.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actively practicing nursing in Iowa for a period of five years immediately prior to their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Iowa registered nurse license or hold a current license in another state and be recognized for licensure in Iowa pursuant to the nurse licensure compact contained in Iowa Code chapter </w:t>
      </w:r>
      <w:hyperlink r:id="rId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actively involved in nursing practice during 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exempt from mandatory disclosure requirements of Iowa Code section </w:t>
      </w:r>
      <w:hyperlink r:id="rId5">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civilly liable when functioning in their capacity of committee members in compliance with Iowa Code section </w:t>
      </w:r>
      <w:hyperlink r:id="rId6">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Observe the requirements of confidentiality imposed by Iowa Code subsection </w:t>
      </w:r>
      <w:hyperlink r:id="rId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For the purposes of this subsection, all information requested by or provided to the U.C.C.R. committee under this chapter shall be considered privileged and confidential complaint or investigative information. However, the final decision of the U.C.C.R. committee shall not be considered confidential.</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E.pdf" Type="http://schemas.openxmlformats.org/officeDocument/2006/relationships/hyperlink" Id="rId4"/>
    <Relationship TargetMode="External" Target="https://www.legis.iowa.gov/docs/ico/chapter/272C.9.pdf" Type="http://schemas.openxmlformats.org/officeDocument/2006/relationships/hyperlink" Id="rId5"/>
    <Relationship TargetMode="External" Target="https://www.legis.iowa.gov/docs/ico/chapter/272C.8.pdf" Type="http://schemas.openxmlformats.org/officeDocument/2006/relationships/hyperlink" Id="rId6"/>
    <Relationship TargetMode="External" Target="https://www.legis.iowa.gov/docs/ico/chapter/272C.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